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667C3" w:rsidRPr="00E427D8" w:rsidRDefault="001667C3" w:rsidP="001667C3">
      <w:pPr>
        <w:keepNext/>
        <w:pBdr>
          <w:bottom w:val="single" w:sz="4" w:space="1" w:color="auto"/>
        </w:pBdr>
        <w:tabs>
          <w:tab w:val="right" w:pos="9639"/>
        </w:tabs>
        <w:spacing w:after="0"/>
        <w:outlineLvl w:val="0"/>
        <w:rPr>
          <w:rFonts w:ascii="Arial" w:hAnsi="Arial" w:cs="Arial"/>
          <w:b/>
          <w:sz w:val="24"/>
          <w:lang w:eastAsia="ja-JP"/>
        </w:rPr>
      </w:pPr>
      <w:r w:rsidRPr="00E427D8">
        <w:rPr>
          <w:rFonts w:ascii="Arial" w:hAnsi="Arial" w:cs="Arial"/>
          <w:b/>
          <w:sz w:val="24"/>
        </w:rPr>
        <w:t>3GPP T</w:t>
      </w:r>
      <w:r>
        <w:rPr>
          <w:rFonts w:ascii="Arial" w:hAnsi="Arial" w:cs="Arial"/>
          <w:b/>
          <w:sz w:val="24"/>
        </w:rPr>
        <w:t>SG SA WG3 (Security) Meeting #</w:t>
      </w:r>
      <w:r>
        <w:rPr>
          <w:rFonts w:ascii="Arial" w:hAnsi="Arial" w:cs="Arial"/>
          <w:b/>
          <w:sz w:val="24"/>
          <w:lang w:eastAsia="ja-JP"/>
        </w:rPr>
        <w:t>8</w:t>
      </w:r>
      <w:r w:rsidR="00A43894">
        <w:rPr>
          <w:rFonts w:ascii="Arial" w:hAnsi="Arial" w:cs="Arial"/>
          <w:b/>
          <w:sz w:val="24"/>
          <w:lang w:eastAsia="ja-JP"/>
        </w:rPr>
        <w:t>8</w:t>
      </w:r>
      <w:r w:rsidRPr="00E427D8">
        <w:rPr>
          <w:rFonts w:ascii="Arial" w:hAnsi="Arial" w:cs="Arial"/>
          <w:b/>
          <w:sz w:val="24"/>
        </w:rPr>
        <w:tab/>
        <w:t>S3-1</w:t>
      </w:r>
      <w:r>
        <w:rPr>
          <w:rFonts w:ascii="Arial" w:hAnsi="Arial" w:cs="Arial" w:hint="eastAsia"/>
          <w:b/>
          <w:sz w:val="24"/>
          <w:lang w:eastAsia="ja-JP"/>
        </w:rPr>
        <w:t>7</w:t>
      </w:r>
      <w:r w:rsidR="007A2B85">
        <w:rPr>
          <w:rFonts w:ascii="Arial" w:hAnsi="Arial" w:cs="Arial"/>
          <w:b/>
          <w:sz w:val="24"/>
          <w:lang w:eastAsia="ja-JP"/>
        </w:rPr>
        <w:t>1802</w:t>
      </w:r>
    </w:p>
    <w:p w:rsidR="00C022E3" w:rsidRDefault="00A43894" w:rsidP="001667C3">
      <w:pPr>
        <w:keepNext/>
        <w:pBdr>
          <w:bottom w:val="single" w:sz="4" w:space="1" w:color="auto"/>
        </w:pBdr>
        <w:tabs>
          <w:tab w:val="right" w:pos="9639"/>
        </w:tabs>
        <w:spacing w:after="0"/>
        <w:outlineLvl w:val="0"/>
        <w:rPr>
          <w:rFonts w:ascii="Arial" w:hAnsi="Arial" w:cs="Arial"/>
          <w:b/>
          <w:sz w:val="24"/>
        </w:rPr>
      </w:pPr>
      <w:r>
        <w:rPr>
          <w:rFonts w:ascii="Arial" w:hAnsi="Arial" w:cs="Arial"/>
          <w:b/>
          <w:sz w:val="24"/>
        </w:rPr>
        <w:t>7-11</w:t>
      </w:r>
      <w:r w:rsidR="00D11216">
        <w:rPr>
          <w:rFonts w:ascii="Arial" w:hAnsi="Arial" w:cs="Arial"/>
          <w:b/>
          <w:sz w:val="24"/>
        </w:rPr>
        <w:t xml:space="preserve"> </w:t>
      </w:r>
      <w:r>
        <w:rPr>
          <w:rFonts w:ascii="Arial" w:hAnsi="Arial" w:cs="Arial"/>
          <w:b/>
          <w:sz w:val="24"/>
        </w:rPr>
        <w:t>August</w:t>
      </w:r>
      <w:r w:rsidR="001667C3">
        <w:rPr>
          <w:rFonts w:ascii="Arial" w:hAnsi="Arial" w:cs="Arial"/>
          <w:b/>
          <w:sz w:val="24"/>
          <w:lang w:eastAsia="ja-JP"/>
        </w:rPr>
        <w:t>,</w:t>
      </w:r>
      <w:r w:rsidR="001667C3" w:rsidRPr="00E427D8">
        <w:rPr>
          <w:rFonts w:ascii="Arial" w:hAnsi="Arial" w:cs="Arial"/>
          <w:b/>
          <w:sz w:val="24"/>
        </w:rPr>
        <w:t xml:space="preserve"> 201</w:t>
      </w:r>
      <w:r w:rsidR="001667C3">
        <w:rPr>
          <w:rFonts w:ascii="Arial" w:hAnsi="Arial" w:cs="Arial"/>
          <w:b/>
          <w:sz w:val="24"/>
        </w:rPr>
        <w:t>7</w:t>
      </w:r>
      <w:r w:rsidR="001667C3" w:rsidRPr="00E427D8">
        <w:rPr>
          <w:rFonts w:ascii="Arial" w:hAnsi="Arial" w:cs="Arial"/>
          <w:b/>
          <w:sz w:val="24"/>
        </w:rPr>
        <w:t xml:space="preserve">, </w:t>
      </w:r>
      <w:r>
        <w:rPr>
          <w:rFonts w:ascii="Arial" w:hAnsi="Arial" w:cs="Arial"/>
          <w:b/>
          <w:sz w:val="24"/>
          <w:lang w:eastAsia="ja-JP"/>
        </w:rPr>
        <w:t>Dali</w:t>
      </w:r>
      <w:r w:rsidR="00D11216">
        <w:rPr>
          <w:rFonts w:ascii="Arial" w:hAnsi="Arial" w:cs="Arial"/>
          <w:b/>
          <w:sz w:val="24"/>
          <w:lang w:eastAsia="ja-JP"/>
        </w:rPr>
        <w:t>,</w:t>
      </w:r>
      <w:r>
        <w:rPr>
          <w:rFonts w:ascii="Arial" w:hAnsi="Arial" w:cs="Arial"/>
          <w:b/>
          <w:sz w:val="24"/>
          <w:lang w:eastAsia="ja-JP"/>
        </w:rPr>
        <w:t xml:space="preserve"> China</w:t>
      </w:r>
      <w:r w:rsidR="00C022E3">
        <w:rPr>
          <w:rFonts w:ascii="Arial" w:hAnsi="Arial" w:cs="Arial"/>
          <w:b/>
          <w:sz w:val="24"/>
        </w:rPr>
        <w:tab/>
      </w:r>
      <w:r w:rsidR="00C022E3">
        <w:rPr>
          <w:rFonts w:ascii="Arial" w:hAnsi="Arial" w:cs="Arial"/>
          <w:i/>
          <w:sz w:val="18"/>
          <w:szCs w:val="18"/>
        </w:rPr>
        <w:t>revision of S</w:t>
      </w:r>
      <w:r w:rsidR="000A0F3C">
        <w:rPr>
          <w:rFonts w:ascii="Arial" w:hAnsi="Arial" w:cs="Arial"/>
          <w:i/>
          <w:sz w:val="18"/>
          <w:szCs w:val="18"/>
        </w:rPr>
        <w:t>3</w:t>
      </w:r>
      <w:r w:rsidR="00C022E3">
        <w:rPr>
          <w:rFonts w:ascii="Arial" w:hAnsi="Arial" w:cs="Arial"/>
          <w:i/>
          <w:sz w:val="18"/>
          <w:szCs w:val="18"/>
        </w:rPr>
        <w:t>-1</w:t>
      </w:r>
      <w:r w:rsidR="000A0F3C">
        <w:rPr>
          <w:rFonts w:ascii="Arial" w:hAnsi="Arial" w:cs="Arial"/>
          <w:i/>
          <w:sz w:val="18"/>
          <w:szCs w:val="18"/>
        </w:rPr>
        <w:t>7</w:t>
      </w:r>
      <w:r w:rsidR="00C4712D">
        <w:rPr>
          <w:rFonts w:ascii="Arial" w:hAnsi="Arial" w:cs="Arial"/>
          <w:i/>
          <w:sz w:val="18"/>
          <w:szCs w:val="18"/>
        </w:rPr>
        <w:t>x</w:t>
      </w:r>
      <w:r w:rsidR="00C022E3">
        <w:rPr>
          <w:rFonts w:ascii="Arial" w:hAnsi="Arial" w:cs="Arial"/>
          <w:i/>
          <w:sz w:val="18"/>
          <w:szCs w:val="18"/>
        </w:rPr>
        <w:t>abc</w:t>
      </w:r>
    </w:p>
    <w:p w:rsidR="00C022E3" w:rsidRDefault="00C022E3">
      <w:pPr>
        <w:keepNext/>
        <w:pBdr>
          <w:bottom w:val="single" w:sz="4" w:space="1" w:color="auto"/>
        </w:pBdr>
        <w:tabs>
          <w:tab w:val="right" w:pos="9639"/>
        </w:tabs>
        <w:outlineLvl w:val="0"/>
        <w:rPr>
          <w:rFonts w:ascii="Arial" w:hAnsi="Arial" w:cs="Arial"/>
          <w:b/>
          <w:sz w:val="24"/>
        </w:rPr>
      </w:pPr>
    </w:p>
    <w:p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sidR="008930A4">
        <w:rPr>
          <w:rFonts w:ascii="Arial" w:hAnsi="Arial"/>
          <w:b/>
          <w:lang w:val="en-US"/>
        </w:rPr>
        <w:t xml:space="preserve"> Huawei / </w:t>
      </w:r>
      <w:proofErr w:type="spellStart"/>
      <w:r w:rsidR="008930A4">
        <w:rPr>
          <w:rFonts w:ascii="Arial" w:hAnsi="Arial"/>
          <w:b/>
          <w:lang w:val="en-US"/>
        </w:rPr>
        <w:t>Hi</w:t>
      </w:r>
      <w:r w:rsidR="00BB112E">
        <w:rPr>
          <w:rFonts w:ascii="Arial" w:hAnsi="Arial"/>
          <w:b/>
          <w:lang w:val="en-US"/>
        </w:rPr>
        <w:t>Silicon</w:t>
      </w:r>
      <w:proofErr w:type="spellEnd"/>
      <w:r>
        <w:rPr>
          <w:rFonts w:ascii="Arial" w:hAnsi="Arial"/>
          <w:b/>
          <w:lang w:val="en-US"/>
        </w:rPr>
        <w:tab/>
      </w:r>
    </w:p>
    <w:p w:rsidR="00C022E3" w:rsidRDefault="00C022E3">
      <w:pPr>
        <w:keepNext/>
        <w:tabs>
          <w:tab w:val="left" w:pos="2127"/>
        </w:tabs>
        <w:spacing w:after="0"/>
        <w:ind w:left="2126" w:hanging="2126"/>
        <w:outlineLvl w:val="0"/>
        <w:rPr>
          <w:rFonts w:ascii="Arial" w:hAnsi="Arial"/>
          <w:b/>
        </w:rPr>
      </w:pPr>
      <w:r>
        <w:rPr>
          <w:rFonts w:ascii="Arial" w:hAnsi="Arial" w:cs="Arial"/>
          <w:b/>
        </w:rPr>
        <w:t>Title:</w:t>
      </w:r>
      <w:r w:rsidR="00FE4BE9">
        <w:rPr>
          <w:rFonts w:ascii="Arial" w:hAnsi="Arial" w:cs="Arial"/>
          <w:b/>
        </w:rPr>
        <w:t xml:space="preserve"> EPS </w:t>
      </w:r>
      <w:r w:rsidR="00E9440E">
        <w:rPr>
          <w:rFonts w:ascii="Arial" w:hAnsi="Arial" w:cs="Arial"/>
          <w:b/>
        </w:rPr>
        <w:t>AKA* procedure</w:t>
      </w:r>
      <w:r w:rsidR="001A0429">
        <w:rPr>
          <w:rFonts w:ascii="Arial" w:hAnsi="Arial" w:cs="Arial"/>
          <w:b/>
        </w:rPr>
        <w:t xml:space="preserve"> </w:t>
      </w:r>
      <w:r>
        <w:rPr>
          <w:rFonts w:ascii="Arial" w:hAnsi="Arial" w:cs="Arial"/>
          <w:b/>
        </w:rPr>
        <w:tab/>
      </w:r>
    </w:p>
    <w:p w:rsidR="00C022E3" w:rsidRDefault="001B7178" w:rsidP="001B7178">
      <w:pPr>
        <w:keepNext/>
        <w:tabs>
          <w:tab w:val="left" w:pos="2127"/>
        </w:tabs>
        <w:spacing w:after="0"/>
        <w:ind w:left="2126" w:hanging="2126"/>
        <w:outlineLvl w:val="0"/>
        <w:rPr>
          <w:rFonts w:ascii="Arial" w:hAnsi="Arial"/>
          <w:b/>
          <w:lang w:eastAsia="zh-CN"/>
        </w:rPr>
      </w:pPr>
      <w:r>
        <w:rPr>
          <w:rFonts w:ascii="Arial" w:hAnsi="Arial"/>
          <w:b/>
        </w:rPr>
        <w:t xml:space="preserve">Document for: </w:t>
      </w:r>
      <w:proofErr w:type="spellStart"/>
      <w:r w:rsidR="00651051">
        <w:rPr>
          <w:rFonts w:ascii="Arial" w:hAnsi="Arial"/>
          <w:b/>
          <w:lang w:eastAsia="zh-CN"/>
        </w:rPr>
        <w:t>Discu</w:t>
      </w:r>
      <w:r w:rsidR="00C022E3">
        <w:rPr>
          <w:rFonts w:ascii="Arial" w:hAnsi="Arial"/>
          <w:b/>
          <w:lang w:eastAsia="zh-CN"/>
        </w:rPr>
        <w:t>sion</w:t>
      </w:r>
      <w:proofErr w:type="spellEnd"/>
      <w:r w:rsidR="00F759DD">
        <w:rPr>
          <w:rFonts w:ascii="Arial" w:hAnsi="Arial"/>
          <w:b/>
          <w:lang w:eastAsia="zh-CN"/>
        </w:rPr>
        <w:t xml:space="preserve">, </w:t>
      </w:r>
      <w:r w:rsidR="007A2B85">
        <w:rPr>
          <w:rFonts w:ascii="Arial" w:hAnsi="Arial"/>
          <w:b/>
          <w:lang w:eastAsia="zh-CN"/>
        </w:rPr>
        <w:t>Approval</w:t>
      </w:r>
    </w:p>
    <w:p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sidR="007F7ADA">
        <w:rPr>
          <w:rFonts w:ascii="Arial" w:hAnsi="Arial"/>
          <w:b/>
        </w:rPr>
        <w:t xml:space="preserve"> </w:t>
      </w:r>
      <w:r w:rsidR="007A2B85">
        <w:rPr>
          <w:rFonts w:ascii="Arial" w:hAnsi="Arial"/>
          <w:b/>
        </w:rPr>
        <w:t xml:space="preserve">7.3 </w:t>
      </w:r>
      <w:r w:rsidR="00BA6232" w:rsidRPr="00BA6232">
        <w:rPr>
          <w:rFonts w:ascii="Arial" w:hAnsi="Arial"/>
          <w:b/>
        </w:rPr>
        <w:t>Security aspects of 5G System - Phase 1</w:t>
      </w:r>
    </w:p>
    <w:p w:rsidR="00C022E3" w:rsidRDefault="00C022E3">
      <w:pPr>
        <w:pStyle w:val="Heading1"/>
      </w:pPr>
      <w:r>
        <w:t>1</w:t>
      </w:r>
      <w:r>
        <w:tab/>
        <w:t>Decision/action requested</w:t>
      </w:r>
    </w:p>
    <w:p w:rsidR="004944C7" w:rsidRPr="005348A6" w:rsidRDefault="00F2242D" w:rsidP="004944C7">
      <w:pPr>
        <w:pBdr>
          <w:top w:val="single" w:sz="4" w:space="1" w:color="auto"/>
          <w:left w:val="single" w:sz="4" w:space="4" w:color="auto"/>
          <w:bottom w:val="single" w:sz="4" w:space="1" w:color="auto"/>
          <w:right w:val="single" w:sz="4" w:space="4" w:color="auto"/>
        </w:pBdr>
        <w:shd w:val="clear" w:color="auto" w:fill="FFFF99"/>
        <w:rPr>
          <w:b/>
        </w:rPr>
      </w:pPr>
      <w:r w:rsidRPr="005348A6">
        <w:rPr>
          <w:b/>
        </w:rPr>
        <w:t xml:space="preserve">Two </w:t>
      </w:r>
      <w:r w:rsidR="00A933DD" w:rsidRPr="005348A6">
        <w:rPr>
          <w:b/>
        </w:rPr>
        <w:t xml:space="preserve">alternative </w:t>
      </w:r>
      <w:r w:rsidRPr="005348A6">
        <w:rPr>
          <w:b/>
        </w:rPr>
        <w:t>ways to m</w:t>
      </w:r>
      <w:r w:rsidR="00BB112E" w:rsidRPr="005348A6">
        <w:rPr>
          <w:b/>
        </w:rPr>
        <w:t>odif</w:t>
      </w:r>
      <w:r w:rsidR="00FE4BE9">
        <w:rPr>
          <w:b/>
        </w:rPr>
        <w:t xml:space="preserve">y EPS </w:t>
      </w:r>
      <w:r w:rsidRPr="005348A6">
        <w:rPr>
          <w:b/>
        </w:rPr>
        <w:t>AKA* procedure so that it does not affect</w:t>
      </w:r>
      <w:r w:rsidR="00A933DD" w:rsidRPr="005348A6">
        <w:rPr>
          <w:b/>
        </w:rPr>
        <w:t xml:space="preserve"> the NAS signalling </w:t>
      </w:r>
      <w:r w:rsidR="00FE4BE9">
        <w:rPr>
          <w:b/>
        </w:rPr>
        <w:t xml:space="preserve">of EPS </w:t>
      </w:r>
      <w:r w:rsidR="00932307" w:rsidRPr="005348A6">
        <w:rPr>
          <w:b/>
        </w:rPr>
        <w:t>AKA are des</w:t>
      </w:r>
      <w:r w:rsidR="00A933DD" w:rsidRPr="005348A6">
        <w:rPr>
          <w:b/>
        </w:rPr>
        <w:t>cribed</w:t>
      </w:r>
      <w:r w:rsidR="00FE4BE9">
        <w:rPr>
          <w:b/>
        </w:rPr>
        <w:t xml:space="preserve">. It is requested to modify EPS </w:t>
      </w:r>
      <w:r w:rsidRPr="005348A6">
        <w:rPr>
          <w:b/>
        </w:rPr>
        <w:t xml:space="preserve">AKA* according to one (but not both) of those options. </w:t>
      </w:r>
    </w:p>
    <w:p w:rsidR="00C022E3" w:rsidRPr="005348A6" w:rsidRDefault="00F2242D" w:rsidP="004944C7">
      <w:pPr>
        <w:pBdr>
          <w:top w:val="single" w:sz="4" w:space="1" w:color="auto"/>
          <w:left w:val="single" w:sz="4" w:space="4" w:color="auto"/>
          <w:bottom w:val="single" w:sz="4" w:space="1" w:color="auto"/>
          <w:right w:val="single" w:sz="4" w:space="4" w:color="auto"/>
        </w:pBdr>
        <w:shd w:val="clear" w:color="auto" w:fill="FFFF99"/>
        <w:rPr>
          <w:lang w:eastAsia="zh-CN"/>
        </w:rPr>
      </w:pPr>
      <w:r w:rsidRPr="005348A6">
        <w:rPr>
          <w:b/>
        </w:rPr>
        <w:t>The change request</w:t>
      </w:r>
      <w:r w:rsidR="004944C7" w:rsidRPr="005348A6">
        <w:rPr>
          <w:b/>
        </w:rPr>
        <w:t>s to TS 33.501 according to op</w:t>
      </w:r>
      <w:r w:rsidR="00A3009F" w:rsidRPr="005348A6">
        <w:rPr>
          <w:b/>
        </w:rPr>
        <w:t xml:space="preserve">tion 1 are in the </w:t>
      </w:r>
      <w:proofErr w:type="spellStart"/>
      <w:r w:rsidR="00A3009F" w:rsidRPr="005348A6">
        <w:rPr>
          <w:b/>
        </w:rPr>
        <w:t>tdoc</w:t>
      </w:r>
      <w:proofErr w:type="spellEnd"/>
      <w:r w:rsidR="00A3009F" w:rsidRPr="005348A6">
        <w:rPr>
          <w:b/>
        </w:rPr>
        <w:t xml:space="preserve"> </w:t>
      </w:r>
      <w:r w:rsidR="00A3009F" w:rsidRPr="007A2B85">
        <w:rPr>
          <w:b/>
          <w:highlight w:val="cyan"/>
        </w:rPr>
        <w:t>S3-17</w:t>
      </w:r>
      <w:r w:rsidR="007A2B85" w:rsidRPr="007A2B85">
        <w:rPr>
          <w:b/>
          <w:highlight w:val="cyan"/>
        </w:rPr>
        <w:t>1803</w:t>
      </w:r>
      <w:r w:rsidR="004944C7" w:rsidRPr="005348A6">
        <w:rPr>
          <w:b/>
        </w:rPr>
        <w:t>; the change requests to TS 33.501 according to op</w:t>
      </w:r>
      <w:r w:rsidR="00A3009F" w:rsidRPr="005348A6">
        <w:rPr>
          <w:b/>
        </w:rPr>
        <w:t xml:space="preserve">tion 2 are in the </w:t>
      </w:r>
      <w:proofErr w:type="spellStart"/>
      <w:r w:rsidR="00A3009F" w:rsidRPr="007A2B85">
        <w:rPr>
          <w:b/>
        </w:rPr>
        <w:t>tdoc</w:t>
      </w:r>
      <w:proofErr w:type="spellEnd"/>
      <w:r w:rsidR="00A3009F" w:rsidRPr="007A2B85">
        <w:rPr>
          <w:b/>
        </w:rPr>
        <w:t xml:space="preserve"> </w:t>
      </w:r>
      <w:r w:rsidR="00A3009F" w:rsidRPr="007A2B85">
        <w:rPr>
          <w:b/>
          <w:highlight w:val="cyan"/>
        </w:rPr>
        <w:t>S3-17</w:t>
      </w:r>
      <w:r w:rsidR="007A2B85" w:rsidRPr="007A2B85">
        <w:rPr>
          <w:b/>
          <w:highlight w:val="cyan"/>
        </w:rPr>
        <w:t>1804</w:t>
      </w:r>
      <w:r w:rsidR="004944C7" w:rsidRPr="005348A6">
        <w:rPr>
          <w:b/>
        </w:rPr>
        <w:t>.</w:t>
      </w:r>
    </w:p>
    <w:p w:rsidR="00C022E3" w:rsidRDefault="00C022E3">
      <w:pPr>
        <w:pStyle w:val="Heading1"/>
      </w:pPr>
      <w:r>
        <w:t>2</w:t>
      </w:r>
      <w:r>
        <w:tab/>
        <w:t>References</w:t>
      </w:r>
    </w:p>
    <w:p w:rsidR="008234C3" w:rsidRDefault="008D4C3A" w:rsidP="007D5782">
      <w:pPr>
        <w:pStyle w:val="Reference"/>
      </w:pPr>
      <w:r>
        <w:t xml:space="preserve"> </w:t>
      </w:r>
      <w:r w:rsidR="008234C3">
        <w:t>[1]</w:t>
      </w:r>
      <w:r w:rsidR="008234C3">
        <w:tab/>
        <w:t xml:space="preserve">3GPP TS </w:t>
      </w:r>
      <w:hyperlink r:id="rId7" w:history="1">
        <w:r w:rsidR="008234C3" w:rsidRPr="008234C3">
          <w:rPr>
            <w:rStyle w:val="Hyperlink"/>
          </w:rPr>
          <w:t>33.501</w:t>
        </w:r>
      </w:hyperlink>
      <w:r w:rsidR="00636AD8">
        <w:t>, clause 6.1.3.2 “Authentication procedure for EPS AKA*.”</w:t>
      </w:r>
    </w:p>
    <w:p w:rsidR="00597AEB" w:rsidRPr="00E401B4" w:rsidRDefault="00597AEB" w:rsidP="00597AEB">
      <w:pPr>
        <w:keepNext/>
        <w:keepLines/>
        <w:pBdr>
          <w:top w:val="single" w:sz="12" w:space="3" w:color="auto"/>
        </w:pBdr>
        <w:spacing w:before="240"/>
        <w:ind w:left="1134" w:hanging="1134"/>
        <w:outlineLvl w:val="0"/>
        <w:rPr>
          <w:rFonts w:ascii="Arial" w:hAnsi="Arial"/>
          <w:sz w:val="36"/>
        </w:rPr>
      </w:pPr>
      <w:r w:rsidRPr="00E401B4">
        <w:rPr>
          <w:rFonts w:ascii="Arial" w:hAnsi="Arial"/>
          <w:sz w:val="36"/>
        </w:rPr>
        <w:t>3</w:t>
      </w:r>
      <w:r w:rsidRPr="00E401B4">
        <w:rPr>
          <w:rFonts w:ascii="Arial" w:hAnsi="Arial"/>
          <w:sz w:val="36"/>
        </w:rPr>
        <w:tab/>
        <w:t>Rationale</w:t>
      </w:r>
    </w:p>
    <w:p w:rsidR="00597AEB" w:rsidRPr="00E401B4" w:rsidRDefault="00597AEB" w:rsidP="00597AEB">
      <w:pPr>
        <w:numPr>
          <w:ilvl w:val="0"/>
          <w:numId w:val="20"/>
        </w:numPr>
      </w:pPr>
      <w:r w:rsidRPr="00E401B4">
        <w:t xml:space="preserve">EPS-AKA* [1] procedure mitigates “UE not present” attack by a rogue 5G </w:t>
      </w:r>
      <w:proofErr w:type="spellStart"/>
      <w:r w:rsidRPr="00E401B4">
        <w:t>vPLMN</w:t>
      </w:r>
      <w:proofErr w:type="spellEnd"/>
      <w:r w:rsidRPr="00E401B4">
        <w:t>. But EPS AKA* as currently defined in TS 33.501 [1] impacts the interface between UE and core network compared to EPS AKA in that the UE response RES* must be 128 bits long. The consequences of this impact are:</w:t>
      </w:r>
    </w:p>
    <w:p w:rsidR="00597AEB" w:rsidRPr="00E401B4" w:rsidRDefault="00597AEB" w:rsidP="00597AEB">
      <w:pPr>
        <w:numPr>
          <w:ilvl w:val="2"/>
          <w:numId w:val="20"/>
        </w:numPr>
      </w:pPr>
      <w:r w:rsidRPr="00E401B4">
        <w:t>RES* consumes more radio resources than shorter RES. (</w:t>
      </w:r>
      <w:r>
        <w:t xml:space="preserve">In GSM, UMTS and </w:t>
      </w:r>
      <w:r w:rsidRPr="00E401B4">
        <w:t>LTE the operators had freedom in setting the size of authentication response RES for their subscribers.)</w:t>
      </w:r>
    </w:p>
    <w:p w:rsidR="00597AEB" w:rsidRPr="00E401B4" w:rsidRDefault="00597AEB" w:rsidP="00597AEB">
      <w:pPr>
        <w:numPr>
          <w:ilvl w:val="2"/>
          <w:numId w:val="20"/>
        </w:numPr>
      </w:pPr>
      <w:r w:rsidRPr="00E401B4">
        <w:t>EPS AKA* cannot be retrofitted to</w:t>
      </w:r>
      <w:r>
        <w:t xml:space="preserve"> LTE (or 3G) networks to</w:t>
      </w:r>
      <w:r w:rsidRPr="00E401B4">
        <w:t xml:space="preserve"> provide protection against “UE not pr</w:t>
      </w:r>
      <w:r>
        <w:t>esent” attack in those networks</w:t>
      </w:r>
      <w:r w:rsidRPr="00E401B4">
        <w:t>. (Here, “retrofit” means installing a suitable implementation of AKA* procedure in legacy core network (e.g., MME), without upgrading the legacy UEs. After this operation the “UE not present” attack is mitigated also in the upgraded legacy network and for all UEs (not only 5G UEs). This sort of upgrade could result from a roaming agreement between operators.)</w:t>
      </w:r>
    </w:p>
    <w:p w:rsidR="00597AEB" w:rsidRPr="00E401B4" w:rsidRDefault="00597AEB" w:rsidP="00597AEB">
      <w:pPr>
        <w:numPr>
          <w:ilvl w:val="0"/>
          <w:numId w:val="20"/>
        </w:numPr>
      </w:pPr>
      <w:r w:rsidRPr="00E401B4">
        <w:rPr>
          <w:rFonts w:hint="eastAsia"/>
        </w:rPr>
        <w:t xml:space="preserve">It can be argued </w:t>
      </w:r>
      <w:r w:rsidRPr="00E401B4">
        <w:t>that these consequences do not matter, because neither the efficient use of radio resources during authentication, nor the mitigation of “UE not present” attack in legacy networks are the goals of EPS AKA*. But EPS AKA* can be modified (without increasing its complexity) so that it mitigates the “UE not present” attack without new restrictions on the UE response</w:t>
      </w:r>
      <w:r>
        <w:t xml:space="preserve"> during authentication</w:t>
      </w:r>
      <w:r w:rsidRPr="00E401B4">
        <w:t>.</w:t>
      </w:r>
    </w:p>
    <w:p w:rsidR="00597AEB" w:rsidRPr="00E401B4" w:rsidRDefault="00597AEB" w:rsidP="00597AEB">
      <w:pPr>
        <w:numPr>
          <w:ilvl w:val="0"/>
          <w:numId w:val="20"/>
        </w:numPr>
      </w:pPr>
      <w:r w:rsidRPr="00E401B4">
        <w:t>We propose to modify EPS AKA* so that it does not require 128 bit long response. Two alternative ways to do that are described.</w:t>
      </w:r>
    </w:p>
    <w:p w:rsidR="00597AEB" w:rsidRPr="00E401B4" w:rsidRDefault="00597AEB" w:rsidP="00597AEB">
      <w:pPr>
        <w:keepNext/>
        <w:keepLines/>
        <w:pBdr>
          <w:top w:val="single" w:sz="12" w:space="3" w:color="auto"/>
        </w:pBdr>
        <w:spacing w:before="240"/>
        <w:ind w:left="1134" w:hanging="1134"/>
        <w:outlineLvl w:val="0"/>
        <w:rPr>
          <w:rFonts w:ascii="Arial" w:hAnsi="Arial"/>
          <w:sz w:val="36"/>
        </w:rPr>
      </w:pPr>
      <w:r w:rsidRPr="00E401B4">
        <w:rPr>
          <w:rFonts w:ascii="Arial" w:hAnsi="Arial"/>
          <w:sz w:val="36"/>
        </w:rPr>
        <w:t>4</w:t>
      </w:r>
      <w:r w:rsidRPr="00E401B4">
        <w:rPr>
          <w:rFonts w:ascii="Arial" w:hAnsi="Arial"/>
          <w:sz w:val="36"/>
        </w:rPr>
        <w:tab/>
        <w:t>Detailed proposal</w:t>
      </w:r>
    </w:p>
    <w:p w:rsidR="00597AEB" w:rsidRPr="00E401B4" w:rsidRDefault="00597AEB" w:rsidP="00597AEB">
      <w:r w:rsidRPr="00E401B4">
        <w:t xml:space="preserve">The “UE not present” attack is a fraud by a rogue </w:t>
      </w:r>
      <w:proofErr w:type="spellStart"/>
      <w:r w:rsidRPr="00E401B4">
        <w:t>vPLMN</w:t>
      </w:r>
      <w:proofErr w:type="spellEnd"/>
      <w:r w:rsidRPr="00E401B4">
        <w:t>, which sends an Update Location request for subscribers that are not actually</w:t>
      </w:r>
      <w:r>
        <w:t xml:space="preserve"> present in the visited network. (F</w:t>
      </w:r>
      <w:r w:rsidRPr="00E401B4">
        <w:t xml:space="preserve">or example, the </w:t>
      </w:r>
      <w:proofErr w:type="spellStart"/>
      <w:r w:rsidRPr="00E401B4">
        <w:t>vPLMN</w:t>
      </w:r>
      <w:proofErr w:type="spellEnd"/>
      <w:r w:rsidRPr="00E401B4">
        <w:t xml:space="preserve"> rejects Attach Request from a roaming UE, and then sends Update Location request for the IMSI in that UE to the </w:t>
      </w:r>
      <w:proofErr w:type="spellStart"/>
      <w:r w:rsidRPr="00E401B4">
        <w:t>hPLMN</w:t>
      </w:r>
      <w:proofErr w:type="spellEnd"/>
      <w:r w:rsidRPr="00E401B4">
        <w:t xml:space="preserve">. Afterwards, the </w:t>
      </w:r>
      <w:proofErr w:type="spellStart"/>
      <w:r w:rsidRPr="00E401B4">
        <w:t>vPLMN</w:t>
      </w:r>
      <w:proofErr w:type="spellEnd"/>
      <w:r w:rsidRPr="00E401B4">
        <w:t xml:space="preserve"> may send to the </w:t>
      </w:r>
      <w:proofErr w:type="spellStart"/>
      <w:r w:rsidRPr="00E401B4">
        <w:t>hPLMN</w:t>
      </w:r>
      <w:proofErr w:type="spellEnd"/>
      <w:r w:rsidRPr="00E401B4">
        <w:t xml:space="preserve"> a charging record for subscriber having that IMSI, even though it did not provide any service to the roaming subscriber.</w:t>
      </w:r>
      <w:r>
        <w:t>)</w:t>
      </w:r>
    </w:p>
    <w:p w:rsidR="00597AEB" w:rsidRPr="00E401B4" w:rsidRDefault="00597AEB" w:rsidP="00597AEB">
      <w:r w:rsidRPr="00E401B4">
        <w:t>EPS AKA* [1] helps to mitigate “UE not present” attack by increasing the home network control over the authentication and key agreement p</w:t>
      </w:r>
      <w:r>
        <w:t xml:space="preserve">rocedure, compared to EPS AKA. </w:t>
      </w:r>
      <w:r w:rsidRPr="00E401B4">
        <w:t xml:space="preserve">The increased home network control </w:t>
      </w:r>
      <w:r>
        <w:t xml:space="preserve">still </w:t>
      </w:r>
      <w:r w:rsidRPr="00E401B4">
        <w:t>needs to be linked to subsequent procedures, like location update, in order to mitigate the at</w:t>
      </w:r>
      <w:r>
        <w:t>tack. I</w:t>
      </w:r>
      <w:r w:rsidRPr="00E401B4">
        <w:t>n contrast to EPS AKA, where the home network operator may choose the setting of response RES size from a range of values, the response RES* in EPS AKA* [1] must be 128 bits long.</w:t>
      </w:r>
    </w:p>
    <w:p w:rsidR="00597AEB" w:rsidRPr="00E401B4" w:rsidRDefault="00597AEB" w:rsidP="00597AEB">
      <w:r w:rsidRPr="00E401B4">
        <w:lastRenderedPageBreak/>
        <w:t>To show that home network control over authentication can be inc</w:t>
      </w:r>
      <w:r>
        <w:t>reased</w:t>
      </w:r>
      <w:r w:rsidRPr="00E401B4">
        <w:t xml:space="preserve"> without impact on RES, we describe two alternative ways, </w:t>
      </w:r>
      <w:proofErr w:type="spellStart"/>
      <w:r w:rsidRPr="00E401B4">
        <w:t>labeled</w:t>
      </w:r>
      <w:proofErr w:type="spellEnd"/>
      <w:r w:rsidRPr="00E401B4">
        <w:t xml:space="preserve"> option 1 and option 2 below, to modify EPS-AKA* [1] procedure to do that. (Similarly to EPS AKA and UMTS AKA, the size of RES can be chosen by home network operator in those options.)</w:t>
      </w:r>
    </w:p>
    <w:p w:rsidR="00597AEB" w:rsidRPr="00E401B4" w:rsidRDefault="00597AEB" w:rsidP="00597AEB">
      <w:r w:rsidRPr="00E401B4">
        <w:t xml:space="preserve">But first we outline </w:t>
      </w:r>
      <w:r>
        <w:t xml:space="preserve">and discuss </w:t>
      </w:r>
      <w:r w:rsidRPr="00E401B4">
        <w:t>the EPS-AKA* procedure in 33.501 [1]. In the figures below red text and lines indicate EPS-AKA*-specific components.</w:t>
      </w:r>
    </w:p>
    <w:p w:rsidR="00597AEB" w:rsidRPr="00E401B4" w:rsidRDefault="00597AEB" w:rsidP="00597AEB">
      <w:pPr>
        <w:keepNext/>
        <w:keepLines/>
        <w:spacing w:before="180"/>
        <w:ind w:left="1134" w:hanging="1134"/>
        <w:outlineLvl w:val="1"/>
        <w:rPr>
          <w:rFonts w:ascii="Arial" w:hAnsi="Arial"/>
          <w:sz w:val="32"/>
        </w:rPr>
      </w:pPr>
      <w:r w:rsidRPr="00E401B4">
        <w:rPr>
          <w:rFonts w:ascii="Arial" w:hAnsi="Arial"/>
          <w:sz w:val="32"/>
        </w:rPr>
        <w:t>4.1 Outline the EPS-AKA* procedure in TS 33.501 [1]</w:t>
      </w:r>
    </w:p>
    <w:p w:rsidR="00597AEB" w:rsidRPr="00E401B4" w:rsidRDefault="00597AEB" w:rsidP="00597AEB">
      <w:r w:rsidRPr="00E401B4">
        <w:t xml:space="preserve">The message exchange in EPS-AKA*, the computation of XRES* and HXRES* in the AUSF/ARPF, and the computation of RES* in the UE are illustrated in Figures 1, 2 and 3, respectively. Those figures are based on TS 33.501 [1]. </w:t>
      </w:r>
    </w:p>
    <w:p w:rsidR="00597AEB" w:rsidRPr="00E401B4" w:rsidRDefault="00597AEB" w:rsidP="00597AEB">
      <w:pPr>
        <w:jc w:val="center"/>
      </w:pPr>
      <w:r w:rsidRPr="00E401B4">
        <w:rPr>
          <w:noProof/>
          <w:lang w:val="en-US" w:eastAsia="zh-CN"/>
        </w:rPr>
        <w:drawing>
          <wp:inline distT="0" distB="0" distL="0" distR="0">
            <wp:extent cx="4068545" cy="1970787"/>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099356" cy="1985712"/>
                    </a:xfrm>
                    <a:prstGeom prst="rect">
                      <a:avLst/>
                    </a:prstGeom>
                    <a:noFill/>
                  </pic:spPr>
                </pic:pic>
              </a:graphicData>
            </a:graphic>
          </wp:inline>
        </w:drawing>
      </w:r>
    </w:p>
    <w:p w:rsidR="00597AEB" w:rsidRPr="00E401B4" w:rsidRDefault="00597AEB" w:rsidP="00597AEB">
      <w:pPr>
        <w:jc w:val="center"/>
      </w:pPr>
      <w:r w:rsidRPr="00E401B4">
        <w:rPr>
          <w:rFonts w:hint="eastAsia"/>
        </w:rPr>
        <w:t xml:space="preserve">Figure 1: </w:t>
      </w:r>
      <w:r w:rsidRPr="00E401B4">
        <w:t xml:space="preserve">message exchange during EPS-AKA*. Red text and lines indicate new AKA*-specific components (but, it is still </w:t>
      </w:r>
      <w:proofErr w:type="spellStart"/>
      <w:r w:rsidRPr="00E401B4">
        <w:t>ffs</w:t>
      </w:r>
      <w:proofErr w:type="spellEnd"/>
      <w:r w:rsidRPr="00E401B4">
        <w:t xml:space="preserve"> whether KASME* differs from KASME).</w:t>
      </w:r>
    </w:p>
    <w:p w:rsidR="00597AEB" w:rsidRPr="00E401B4" w:rsidRDefault="00597AEB" w:rsidP="00597AEB">
      <w:pPr>
        <w:jc w:val="center"/>
      </w:pPr>
      <w:r w:rsidRPr="00E401B4">
        <w:rPr>
          <w:noProof/>
          <w:lang w:val="en-US" w:eastAsia="zh-CN"/>
        </w:rPr>
        <w:drawing>
          <wp:inline distT="0" distB="0" distL="0" distR="0">
            <wp:extent cx="3875867" cy="2361733"/>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891867" cy="2371482"/>
                    </a:xfrm>
                    <a:prstGeom prst="rect">
                      <a:avLst/>
                    </a:prstGeom>
                    <a:noFill/>
                  </pic:spPr>
                </pic:pic>
              </a:graphicData>
            </a:graphic>
          </wp:inline>
        </w:drawing>
      </w:r>
      <w:bookmarkStart w:id="0" w:name="_GoBack"/>
      <w:bookmarkEnd w:id="0"/>
    </w:p>
    <w:p w:rsidR="00597AEB" w:rsidRPr="00E401B4" w:rsidRDefault="00597AEB" w:rsidP="00597AEB">
      <w:pPr>
        <w:jc w:val="center"/>
      </w:pPr>
      <w:r w:rsidRPr="00E401B4">
        <w:t xml:space="preserve">Figure 2: computation of XRES* and HXRES* in AUSF/ARPF. </w:t>
      </w:r>
    </w:p>
    <w:p w:rsidR="00597AEB" w:rsidRPr="00E401B4" w:rsidRDefault="00597AEB" w:rsidP="00597AEB"/>
    <w:p w:rsidR="00597AEB" w:rsidRPr="00E401B4" w:rsidRDefault="00597AEB" w:rsidP="00597AEB">
      <w:pPr>
        <w:jc w:val="center"/>
      </w:pPr>
      <w:r w:rsidRPr="00E401B4">
        <w:rPr>
          <w:noProof/>
          <w:lang w:val="en-US" w:eastAsia="zh-CN"/>
        </w:rPr>
        <w:drawing>
          <wp:inline distT="0" distB="0" distL="0" distR="0">
            <wp:extent cx="3535282" cy="1772702"/>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561902" cy="1786050"/>
                    </a:xfrm>
                    <a:prstGeom prst="rect">
                      <a:avLst/>
                    </a:prstGeom>
                    <a:noFill/>
                  </pic:spPr>
                </pic:pic>
              </a:graphicData>
            </a:graphic>
          </wp:inline>
        </w:drawing>
      </w:r>
    </w:p>
    <w:p w:rsidR="00597AEB" w:rsidRPr="00E401B4" w:rsidRDefault="00597AEB" w:rsidP="00597AEB">
      <w:pPr>
        <w:jc w:val="center"/>
      </w:pPr>
      <w:r w:rsidRPr="00E401B4">
        <w:t>Figure 3: computation of RES* in UE.</w:t>
      </w:r>
    </w:p>
    <w:p w:rsidR="00597AEB" w:rsidRPr="00E401B4" w:rsidRDefault="00597AEB" w:rsidP="00597AEB">
      <w:r w:rsidRPr="00E401B4">
        <w:lastRenderedPageBreak/>
        <w:t xml:space="preserve">In this procedure the SEAF receives from AUSF a 128 bit hash HXRES* of XRES and RAND. When the SEAF receives the 128 bit reply RES* from the UE, it can verify that RES* by </w:t>
      </w:r>
      <w:proofErr w:type="spellStart"/>
      <w:r w:rsidRPr="00E401B4">
        <w:t>recomputing</w:t>
      </w:r>
      <w:proofErr w:type="spellEnd"/>
      <w:r w:rsidRPr="00E401B4">
        <w:t xml:space="preserve"> the hash (with RES* and RAND as inputs) and comparing the result with the HXRES*. </w:t>
      </w:r>
    </w:p>
    <w:p w:rsidR="00597AEB" w:rsidRPr="00E401B4" w:rsidRDefault="00597AEB" w:rsidP="00597AEB">
      <w:r w:rsidRPr="00E401B4">
        <w:t>The AUSF/ARPF can optionally apply additional control over UE authentication. This is done by AUSF/ARPF (</w:t>
      </w:r>
      <w:proofErr w:type="spellStart"/>
      <w:r w:rsidRPr="00E401B4">
        <w:t>i</w:t>
      </w:r>
      <w:proofErr w:type="spellEnd"/>
      <w:r w:rsidRPr="00E401B4">
        <w:t>) triggering the SEAF to forward RES* in the Authentication Confirmation message, and then (ii) verifying that RES* is the same as XRES*.</w:t>
      </w:r>
    </w:p>
    <w:p w:rsidR="00597AEB" w:rsidRPr="00E401B4" w:rsidRDefault="00597AEB" w:rsidP="00597AEB">
      <w:r w:rsidRPr="00066210">
        <w:rPr>
          <w:i/>
        </w:rPr>
        <w:t>Discussion</w:t>
      </w:r>
      <w:r>
        <w:t xml:space="preserve">: </w:t>
      </w:r>
      <w:r w:rsidRPr="00E401B4">
        <w:t xml:space="preserve">The fact that the size of RES* and HXRES* is 128 bit makes finding of HXRES* </w:t>
      </w:r>
      <w:proofErr w:type="spellStart"/>
      <w:r w:rsidRPr="00E401B4">
        <w:t>preimage</w:t>
      </w:r>
      <w:proofErr w:type="spellEnd"/>
      <w:r w:rsidRPr="00E401B4">
        <w:t xml:space="preserve"> computationally hard. This prevents </w:t>
      </w:r>
      <w:proofErr w:type="spellStart"/>
      <w:r w:rsidRPr="00E401B4">
        <w:t>preimage</w:t>
      </w:r>
      <w:proofErr w:type="spellEnd"/>
      <w:r w:rsidRPr="00E401B4">
        <w:t>-</w:t>
      </w:r>
      <w:r>
        <w:t xml:space="preserve">based attacks on the EPS-AKA*. </w:t>
      </w:r>
      <w:r w:rsidRPr="00E401B4">
        <w:t xml:space="preserve">But it also has disadvantages: first, the </w:t>
      </w:r>
      <w:proofErr w:type="spellStart"/>
      <w:r w:rsidRPr="00E401B4">
        <w:t>hPLMN</w:t>
      </w:r>
      <w:proofErr w:type="spellEnd"/>
      <w:r w:rsidRPr="00E401B4">
        <w:t xml:space="preserve"> has no flexibility in choosing the RES size; RES* consumes more radio resources than shorter RES would. </w:t>
      </w:r>
    </w:p>
    <w:p w:rsidR="00597AEB" w:rsidRPr="00E401B4" w:rsidRDefault="00597AEB" w:rsidP="00597AEB">
      <w:r w:rsidRPr="00E401B4">
        <w:t>Second, increasing home network control over authentication could be desirable not only in 5G but also in LTE and UMTS networks, because the "UE not present" attack can be launched in those legacy networks.</w:t>
      </w:r>
      <w:r w:rsidRPr="00E401B4">
        <w:rPr>
          <w:rFonts w:hint="eastAsia"/>
        </w:rPr>
        <w:t xml:space="preserve"> </w:t>
      </w:r>
      <w:r w:rsidRPr="00E401B4">
        <w:t xml:space="preserve">Retrofitting EPS AKA* into LTE network, would involve upgrading both the network side (HSS, MME), and the UEs. </w:t>
      </w:r>
      <w:r>
        <w:t>(The</w:t>
      </w:r>
      <w:r w:rsidRPr="00E401B4">
        <w:t xml:space="preserve"> </w:t>
      </w:r>
      <w:r>
        <w:t xml:space="preserve">latter upgrade </w:t>
      </w:r>
      <w:r w:rsidRPr="00E401B4">
        <w:t xml:space="preserve">is </w:t>
      </w:r>
      <w:r>
        <w:t xml:space="preserve">needed </w:t>
      </w:r>
      <w:r w:rsidRPr="00E401B4">
        <w:t xml:space="preserve">because the UE response RES* in EPS AKA* is computed differently from </w:t>
      </w:r>
      <w:r>
        <w:t xml:space="preserve">the </w:t>
      </w:r>
      <w:r w:rsidRPr="00E401B4">
        <w:t>RES in EPS AKA.</w:t>
      </w:r>
      <w:r>
        <w:t>)</w:t>
      </w:r>
      <w:r w:rsidRPr="00E401B4">
        <w:t xml:space="preserve"> But massive updates of LTE UEs (so that they can produce EPS AKA response RES*) may be very expensive.</w:t>
      </w:r>
    </w:p>
    <w:p w:rsidR="00597AEB" w:rsidRPr="00E401B4" w:rsidRDefault="00597AEB" w:rsidP="00597AEB">
      <w:r w:rsidRPr="00E401B4">
        <w:t>Of course, EPS AKA* could be retrofitted into LTE network by upgrading only the network side (without upgrading the legacy UEs). But then the home network will not have increased control over authentication of legacy LTE UEs (because those UEs cannot produce RES*). As long as legacy UEs are a majority in LTE networks, this lack of home network control would defeat the purpose of introducing EPS AKA* into those networks.</w:t>
      </w:r>
    </w:p>
    <w:p w:rsidR="00597AEB" w:rsidRPr="00E401B4" w:rsidRDefault="00597AEB" w:rsidP="00597AEB">
      <w:r w:rsidRPr="00E401B4">
        <w:rPr>
          <w:rFonts w:hint="eastAsia"/>
        </w:rPr>
        <w:t xml:space="preserve">We will now outline two </w:t>
      </w:r>
      <w:proofErr w:type="spellStart"/>
      <w:r w:rsidRPr="00E401B4">
        <w:rPr>
          <w:rFonts w:hint="eastAsia"/>
        </w:rPr>
        <w:t>preimage</w:t>
      </w:r>
      <w:proofErr w:type="spellEnd"/>
      <w:r w:rsidRPr="00E401B4">
        <w:rPr>
          <w:rFonts w:hint="eastAsia"/>
        </w:rPr>
        <w:t>-based attacks</w:t>
      </w:r>
      <w:r w:rsidRPr="00E401B4">
        <w:t xml:space="preserve">. Those attacks are mitigated in the current EPS-AKA* [1] by </w:t>
      </w:r>
      <w:r>
        <w:t xml:space="preserve">requiring a 128 bit </w:t>
      </w:r>
      <w:r w:rsidRPr="00E401B4">
        <w:t>RES*</w:t>
      </w:r>
      <w:r>
        <w:t xml:space="preserve"> and HXRES*; but they may be possible if this requirement is removed</w:t>
      </w:r>
      <w:r w:rsidRPr="00E401B4">
        <w:t>. Option 2 in section 4.2 shows another way to mitigate those attacks.</w:t>
      </w:r>
    </w:p>
    <w:p w:rsidR="00597AEB" w:rsidRPr="00E401B4" w:rsidRDefault="00597AEB" w:rsidP="00597AEB">
      <w:r w:rsidRPr="00E401B4">
        <w:rPr>
          <w:b/>
        </w:rPr>
        <w:t>Attack 1</w:t>
      </w:r>
      <w:r w:rsidRPr="00E401B4">
        <w:t xml:space="preserve">: Suppose that a rogue SEAF computes a </w:t>
      </w:r>
      <w:proofErr w:type="spellStart"/>
      <w:r w:rsidRPr="00E401B4">
        <w:t>preimage</w:t>
      </w:r>
      <w:proofErr w:type="spellEnd"/>
      <w:r w:rsidRPr="00E401B4">
        <w:t xml:space="preserve"> of HXRES* without receiving RES* from the UE. For example, if the size of RES* would be 32 bit, then the rogue SEAF could simply search through all of the 2</w:t>
      </w:r>
      <w:r w:rsidRPr="00E401B4">
        <w:rPr>
          <w:vertAlign w:val="superscript"/>
        </w:rPr>
        <w:t>32</w:t>
      </w:r>
      <w:r w:rsidRPr="00E401B4">
        <w:t xml:space="preserve"> possible values of RES* until it finds one that hashes into HXRES*. The rogue SEAF then reports that </w:t>
      </w:r>
      <w:proofErr w:type="spellStart"/>
      <w:r w:rsidRPr="00E401B4">
        <w:t>preimage</w:t>
      </w:r>
      <w:proofErr w:type="spellEnd"/>
      <w:r w:rsidRPr="00E401B4">
        <w:t xml:space="preserve"> to AUSF in Authentication Confirmation message. That is, a rogue SEAF may then launch “UE not present” attack.</w:t>
      </w:r>
    </w:p>
    <w:p w:rsidR="00597AEB" w:rsidRPr="00E401B4" w:rsidRDefault="00597AEB" w:rsidP="00597AEB">
      <w:r w:rsidRPr="00E401B4">
        <w:rPr>
          <w:b/>
        </w:rPr>
        <w:t>Attack 2</w:t>
      </w:r>
      <w:r w:rsidRPr="00E401B4">
        <w:t xml:space="preserve">: observe that since a UE has all the inputs that are needed to compute HXRES*, an attacker UE could compute HXRES* and then try to find a second response: RES*’ </w:t>
      </w:r>
      <w:r w:rsidRPr="00E401B4">
        <w:rPr>
          <w:rFonts w:ascii="SimSun" w:hAnsi="SimSun" w:hint="eastAsia"/>
        </w:rPr>
        <w:t xml:space="preserve">≠ </w:t>
      </w:r>
      <w:r w:rsidRPr="00E401B4">
        <w:t xml:space="preserve">RES* that also hashes to HXRES*.  </w:t>
      </w:r>
    </w:p>
    <w:p w:rsidR="00597AEB" w:rsidRPr="00E401B4" w:rsidRDefault="00597AEB" w:rsidP="00597AEB">
      <w:r w:rsidRPr="00E401B4">
        <w:t xml:space="preserve">Suppose that an attacker UE succeeds in that and sends RES*’ instead of RES* to the SEAF. The latter cannot distinguish between RES* and RES*’; it will forward RES*’ to AUSF in Authentication Confirmation message. AUSF, on the other hand, will notice the difference, and this could make the </w:t>
      </w:r>
      <w:proofErr w:type="spellStart"/>
      <w:r w:rsidRPr="00E401B4">
        <w:t>vPLMN</w:t>
      </w:r>
      <w:proofErr w:type="spellEnd"/>
      <w:r w:rsidRPr="00E401B4">
        <w:t xml:space="preserve"> suspect in the eyes of </w:t>
      </w:r>
      <w:proofErr w:type="spellStart"/>
      <w:r w:rsidRPr="00E401B4">
        <w:t>hPLMN</w:t>
      </w:r>
      <w:proofErr w:type="spellEnd"/>
      <w:r w:rsidRPr="00E401B4">
        <w:t xml:space="preserve">. A group of UEs that are controlled by the attacker may take part in this attack. </w:t>
      </w:r>
    </w:p>
    <w:p w:rsidR="00597AEB" w:rsidRPr="00E401B4" w:rsidRDefault="00597AEB" w:rsidP="00597AEB">
      <w:pPr>
        <w:keepNext/>
        <w:keepLines/>
        <w:spacing w:before="180"/>
        <w:ind w:left="1134" w:hanging="1134"/>
        <w:outlineLvl w:val="1"/>
        <w:rPr>
          <w:rFonts w:ascii="Arial" w:hAnsi="Arial"/>
          <w:sz w:val="32"/>
        </w:rPr>
      </w:pPr>
      <w:r w:rsidRPr="00E401B4">
        <w:rPr>
          <w:rFonts w:ascii="Arial" w:hAnsi="Arial"/>
          <w:sz w:val="32"/>
        </w:rPr>
        <w:t>4.2 Proposed modifications to EPS-AKA*</w:t>
      </w:r>
    </w:p>
    <w:p w:rsidR="00597AEB" w:rsidRPr="00E401B4" w:rsidRDefault="00597AEB" w:rsidP="00597AEB">
      <w:r w:rsidRPr="00E401B4">
        <w:t xml:space="preserve">We describe two alternative ways to reduce the impact of </w:t>
      </w:r>
      <w:r w:rsidRPr="00E401B4">
        <w:rPr>
          <w:rFonts w:hint="eastAsia"/>
        </w:rPr>
        <w:t>EPS-AKA*</w:t>
      </w:r>
      <w:r w:rsidRPr="00E401B4">
        <w:t xml:space="preserve"> on the UE</w:t>
      </w:r>
      <w:r w:rsidRPr="00E401B4">
        <w:rPr>
          <w:rFonts w:hint="eastAsia"/>
        </w:rPr>
        <w:t>.</w:t>
      </w:r>
      <w:r w:rsidRPr="00E401B4">
        <w:t xml:space="preserve"> </w:t>
      </w:r>
      <w:r w:rsidRPr="00E401B4">
        <w:rPr>
          <w:rFonts w:hint="eastAsia"/>
        </w:rPr>
        <w:t xml:space="preserve"> </w:t>
      </w:r>
    </w:p>
    <w:p w:rsidR="00597AEB" w:rsidRPr="00E401B4" w:rsidRDefault="00597AEB" w:rsidP="00597AEB">
      <w:pPr>
        <w:keepNext/>
        <w:keepLines/>
        <w:spacing w:before="120"/>
        <w:ind w:left="1134" w:hanging="1134"/>
        <w:outlineLvl w:val="2"/>
        <w:rPr>
          <w:rFonts w:ascii="Arial" w:hAnsi="Arial"/>
          <w:sz w:val="28"/>
        </w:rPr>
      </w:pPr>
      <w:r w:rsidRPr="00E401B4">
        <w:rPr>
          <w:rFonts w:ascii="Arial" w:hAnsi="Arial"/>
          <w:sz w:val="28"/>
        </w:rPr>
        <w:t xml:space="preserve">Option 1 </w:t>
      </w:r>
    </w:p>
    <w:p w:rsidR="00597AEB" w:rsidRPr="00E401B4" w:rsidRDefault="00597AEB" w:rsidP="00597AEB">
      <w:r w:rsidRPr="00E401B4">
        <w:rPr>
          <w:rFonts w:hint="eastAsia"/>
        </w:rPr>
        <w:t>If AUSF/ARPF does not apply additional control over UE authentication, then the operation of this option is like that of EPS AKA.</w:t>
      </w:r>
      <w:r w:rsidRPr="00E401B4">
        <w:t xml:space="preserve"> This is illustrated in Figure 4.</w:t>
      </w:r>
    </w:p>
    <w:p w:rsidR="00597AEB" w:rsidRPr="00E401B4" w:rsidRDefault="00597AEB" w:rsidP="00597AEB">
      <w:pPr>
        <w:jc w:val="center"/>
      </w:pPr>
      <w:r w:rsidRPr="00E401B4">
        <w:rPr>
          <w:noProof/>
          <w:lang w:val="en-US" w:eastAsia="zh-CN"/>
        </w:rPr>
        <w:drawing>
          <wp:inline distT="0" distB="0" distL="0" distR="0">
            <wp:extent cx="3970446" cy="168609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000245" cy="1698745"/>
                    </a:xfrm>
                    <a:prstGeom prst="rect">
                      <a:avLst/>
                    </a:prstGeom>
                    <a:noFill/>
                  </pic:spPr>
                </pic:pic>
              </a:graphicData>
            </a:graphic>
          </wp:inline>
        </w:drawing>
      </w:r>
    </w:p>
    <w:p w:rsidR="00597AEB" w:rsidRPr="00E401B4" w:rsidRDefault="00597AEB" w:rsidP="00597AEB">
      <w:r w:rsidRPr="00E401B4">
        <w:rPr>
          <w:rFonts w:hint="eastAsia"/>
        </w:rPr>
        <w:t xml:space="preserve">Figure 4: </w:t>
      </w:r>
      <w:r w:rsidRPr="00E401B4">
        <w:t xml:space="preserve">message flow in option 1, when the AUSF/ARPF does not require Auth. Response message from SEAF. (It is still </w:t>
      </w:r>
      <w:proofErr w:type="spellStart"/>
      <w:r w:rsidRPr="00E401B4">
        <w:t>ffs</w:t>
      </w:r>
      <w:proofErr w:type="spellEnd"/>
      <w:r w:rsidRPr="00E401B4">
        <w:t xml:space="preserve"> whether KASME* differs from KASME))</w:t>
      </w:r>
    </w:p>
    <w:p w:rsidR="00597AEB" w:rsidRPr="00E401B4" w:rsidRDefault="00597AEB" w:rsidP="00597AEB">
      <w:r w:rsidRPr="00E401B4">
        <w:t>If AUSF/ARPF applies additional control over UE authentication, then operation of this option is illustrated in Figure 5. The steps resemble those of EAP-AKA’, where the UE response is checked in the AUSF:</w:t>
      </w:r>
    </w:p>
    <w:p w:rsidR="00597AEB" w:rsidRPr="00E401B4" w:rsidRDefault="00597AEB" w:rsidP="00597AEB">
      <w:pPr>
        <w:ind w:leftChars="100" w:left="200"/>
      </w:pPr>
      <w:r w:rsidRPr="00E401B4">
        <w:t>•</w:t>
      </w:r>
      <w:r w:rsidRPr="00E401B4">
        <w:tab/>
        <w:t>SEAF does not know in advance neither XRES nor the KASME*; and the AUSF/ARPF checks the RES.</w:t>
      </w:r>
    </w:p>
    <w:p w:rsidR="00597AEB" w:rsidRPr="00E401B4" w:rsidRDefault="00597AEB" w:rsidP="00597AEB">
      <w:pPr>
        <w:ind w:leftChars="100" w:left="200"/>
      </w:pPr>
      <w:r w:rsidRPr="00E401B4">
        <w:lastRenderedPageBreak/>
        <w:t>•</w:t>
      </w:r>
      <w:r w:rsidRPr="00E401B4">
        <w:tab/>
        <w:t>There is a message carrying RES from SEAF to AUSF/ARPF.</w:t>
      </w:r>
    </w:p>
    <w:p w:rsidR="00597AEB" w:rsidRPr="00E401B4" w:rsidRDefault="00597AEB" w:rsidP="00597AEB">
      <w:pPr>
        <w:ind w:leftChars="100" w:left="200"/>
      </w:pPr>
      <w:r w:rsidRPr="00E401B4">
        <w:t>•</w:t>
      </w:r>
      <w:r w:rsidRPr="00E401B4">
        <w:tab/>
        <w:t>The direction of Auth. Confirmation message is from AUSF/ARPF to SEAF; and this message carries the key KASME* to the SEAF.</w:t>
      </w:r>
    </w:p>
    <w:p w:rsidR="00597AEB" w:rsidRPr="00E401B4" w:rsidRDefault="00597AEB" w:rsidP="00597AEB">
      <w:pPr>
        <w:jc w:val="center"/>
      </w:pPr>
      <w:r w:rsidRPr="00E401B4">
        <w:rPr>
          <w:noProof/>
          <w:lang w:val="en-US" w:eastAsia="zh-CN"/>
        </w:rPr>
        <w:drawing>
          <wp:inline distT="0" distB="0" distL="0" distR="0">
            <wp:extent cx="4044677" cy="2282537"/>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071687" cy="2297779"/>
                    </a:xfrm>
                    <a:prstGeom prst="rect">
                      <a:avLst/>
                    </a:prstGeom>
                    <a:noFill/>
                  </pic:spPr>
                </pic:pic>
              </a:graphicData>
            </a:graphic>
          </wp:inline>
        </w:drawing>
      </w:r>
    </w:p>
    <w:p w:rsidR="00597AEB" w:rsidRPr="00E401B4" w:rsidRDefault="00597AEB" w:rsidP="00597AEB">
      <w:pPr>
        <w:ind w:leftChars="100" w:left="200"/>
        <w:jc w:val="center"/>
      </w:pPr>
      <w:r w:rsidRPr="00E401B4">
        <w:rPr>
          <w:rFonts w:hint="eastAsia"/>
        </w:rPr>
        <w:t xml:space="preserve">Figure </w:t>
      </w:r>
      <w:r w:rsidRPr="00E401B4">
        <w:t>5: message flow in option 1, when the AUSF/ARPF requires Auth. Response message from SEAF. Red text and lines indicate EPS-AKA*-specific components.</w:t>
      </w:r>
    </w:p>
    <w:p w:rsidR="00597AEB" w:rsidRPr="00E401B4" w:rsidRDefault="00597AEB" w:rsidP="00597AEB">
      <w:r w:rsidRPr="00E401B4">
        <w:t xml:space="preserve">In this option the additional home network control over authentication of UE is implemented in a straightforward manner: </w:t>
      </w:r>
    </w:p>
    <w:p w:rsidR="00597AEB" w:rsidRPr="00E401B4" w:rsidRDefault="00597AEB" w:rsidP="00597AEB">
      <w:pPr>
        <w:ind w:leftChars="100" w:left="200"/>
      </w:pPr>
      <w:r w:rsidRPr="00E401B4">
        <w:t>•</w:t>
      </w:r>
      <w:r w:rsidRPr="00E401B4">
        <w:tab/>
        <w:t xml:space="preserve"> The UE authenticates directly with the AUSF/ARPF in the </w:t>
      </w:r>
      <w:proofErr w:type="spellStart"/>
      <w:r w:rsidRPr="00E401B4">
        <w:t>hPLMN</w:t>
      </w:r>
      <w:proofErr w:type="spellEnd"/>
      <w:r w:rsidRPr="00E401B4">
        <w:t>.</w:t>
      </w:r>
    </w:p>
    <w:p w:rsidR="00597AEB" w:rsidRPr="00E401B4" w:rsidRDefault="00597AEB" w:rsidP="00597AEB">
      <w:pPr>
        <w:ind w:leftChars="100" w:left="200"/>
      </w:pPr>
      <w:r w:rsidRPr="00E401B4">
        <w:t>•</w:t>
      </w:r>
      <w:r w:rsidRPr="00E401B4">
        <w:tab/>
        <w:t xml:space="preserve"> If that authentication succeeds, then the</w:t>
      </w:r>
      <w:r w:rsidRPr="00E401B4">
        <w:rPr>
          <w:rFonts w:hint="eastAsia"/>
        </w:rPr>
        <w:t xml:space="preserve"> </w:t>
      </w:r>
      <w:r w:rsidRPr="00E401B4">
        <w:t xml:space="preserve">AUSF/ARPF sends KASME* to the SEAF in </w:t>
      </w:r>
      <w:proofErr w:type="spellStart"/>
      <w:r w:rsidRPr="00E401B4">
        <w:t>vPLMN</w:t>
      </w:r>
      <w:proofErr w:type="spellEnd"/>
      <w:r w:rsidRPr="00E401B4">
        <w:t>.</w:t>
      </w:r>
    </w:p>
    <w:p w:rsidR="00597AEB" w:rsidRPr="00E401B4" w:rsidRDefault="00597AEB" w:rsidP="00597AEB">
      <w:r w:rsidRPr="00E401B4">
        <w:t xml:space="preserve">Observe that when additional home network control over authentication of UE is applied, then </w:t>
      </w:r>
    </w:p>
    <w:p w:rsidR="00597AEB" w:rsidRPr="00E401B4" w:rsidRDefault="00597AEB" w:rsidP="00597AEB">
      <w:pPr>
        <w:ind w:leftChars="100" w:left="200"/>
      </w:pPr>
      <w:r w:rsidRPr="00E401B4">
        <w:t>(</w:t>
      </w:r>
      <w:proofErr w:type="spellStart"/>
      <w:r w:rsidRPr="00E401B4">
        <w:t>i</w:t>
      </w:r>
      <w:proofErr w:type="spellEnd"/>
      <w:r w:rsidRPr="00E401B4">
        <w:t xml:space="preserve">) The SEAF forwards the RES to the authentication servers in the home network, instead of checking RES locally. This may somewhat increase the delay between Auth. Response from the UE and the next message from SEAF to UE on the radio interface, compared to EPS AKA* [1]. </w:t>
      </w:r>
    </w:p>
    <w:p w:rsidR="00597AEB" w:rsidRPr="00E401B4" w:rsidRDefault="00597AEB" w:rsidP="00597AEB">
      <w:pPr>
        <w:ind w:leftChars="100" w:left="200"/>
      </w:pPr>
      <w:r w:rsidRPr="00E401B4">
        <w:t xml:space="preserve">(ii) </w:t>
      </w:r>
      <w:r w:rsidRPr="00E401B4">
        <w:rPr>
          <w:rFonts w:hint="eastAsia"/>
        </w:rPr>
        <w:t xml:space="preserve">The fact that there is no checking of RES in the SEAF </w:t>
      </w:r>
      <w:r w:rsidRPr="00E401B4">
        <w:t>increases the potential of Denial of Service attacks on AUSF/ARPF, compared to EPS AKA* [1].</w:t>
      </w:r>
    </w:p>
    <w:p w:rsidR="00597AEB" w:rsidRPr="00E401B4" w:rsidRDefault="00597AEB" w:rsidP="00597AEB">
      <w:pPr>
        <w:keepNext/>
        <w:keepLines/>
        <w:spacing w:before="120"/>
        <w:ind w:left="1134" w:hanging="1134"/>
        <w:outlineLvl w:val="2"/>
        <w:rPr>
          <w:rFonts w:ascii="Arial" w:hAnsi="Arial"/>
          <w:sz w:val="28"/>
        </w:rPr>
      </w:pPr>
      <w:r w:rsidRPr="00E401B4">
        <w:rPr>
          <w:rFonts w:ascii="Arial" w:hAnsi="Arial"/>
          <w:sz w:val="28"/>
        </w:rPr>
        <w:t>Option 2</w:t>
      </w:r>
    </w:p>
    <w:p w:rsidR="00597AEB" w:rsidRPr="00E401B4" w:rsidRDefault="00597AEB" w:rsidP="00597AEB">
      <w:r w:rsidRPr="00E401B4">
        <w:t xml:space="preserve">This option is very similar to EPS AKA* [1]. The message exchange in this </w:t>
      </w:r>
      <w:proofErr w:type="gramStart"/>
      <w:r w:rsidRPr="00E401B4">
        <w:t>option,</w:t>
      </w:r>
      <w:proofErr w:type="gramEnd"/>
      <w:r w:rsidRPr="00E401B4">
        <w:t xml:space="preserve"> and the computation of XRES and HXRES in the AUSF/ARPF are illustrated in Figures 6, and 7 respectively.</w:t>
      </w:r>
    </w:p>
    <w:p w:rsidR="00597AEB" w:rsidRPr="00E401B4" w:rsidRDefault="00597AEB" w:rsidP="00597AEB">
      <w:pPr>
        <w:ind w:leftChars="100" w:left="200"/>
        <w:jc w:val="center"/>
      </w:pPr>
      <w:r w:rsidRPr="00E401B4">
        <w:rPr>
          <w:noProof/>
          <w:lang w:val="en-US" w:eastAsia="zh-CN"/>
        </w:rPr>
        <w:drawing>
          <wp:inline distT="0" distB="0" distL="0" distR="0">
            <wp:extent cx="3933751" cy="1901727"/>
            <wp:effectExtent l="0" t="0" r="0" b="381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959681" cy="1914263"/>
                    </a:xfrm>
                    <a:prstGeom prst="rect">
                      <a:avLst/>
                    </a:prstGeom>
                    <a:noFill/>
                  </pic:spPr>
                </pic:pic>
              </a:graphicData>
            </a:graphic>
          </wp:inline>
        </w:drawing>
      </w:r>
    </w:p>
    <w:p w:rsidR="00597AEB" w:rsidRPr="00E401B4" w:rsidRDefault="00597AEB" w:rsidP="00597AEB">
      <w:pPr>
        <w:ind w:leftChars="100" w:left="200"/>
        <w:jc w:val="center"/>
      </w:pPr>
      <w:r w:rsidRPr="00E401B4">
        <w:t xml:space="preserve">Figure 6: message flow in option 2. </w:t>
      </w:r>
    </w:p>
    <w:p w:rsidR="00597AEB" w:rsidRPr="00E401B4" w:rsidRDefault="00597AEB" w:rsidP="00597AEB">
      <w:pPr>
        <w:ind w:leftChars="100" w:left="200"/>
        <w:jc w:val="center"/>
      </w:pPr>
    </w:p>
    <w:p w:rsidR="00597AEB" w:rsidRPr="00E401B4" w:rsidRDefault="00597AEB" w:rsidP="00597AEB">
      <w:pPr>
        <w:ind w:leftChars="100" w:left="200"/>
        <w:jc w:val="center"/>
      </w:pPr>
      <w:r w:rsidRPr="00E401B4">
        <w:rPr>
          <w:noProof/>
          <w:lang w:val="en-US" w:eastAsia="zh-CN"/>
        </w:rPr>
        <w:lastRenderedPageBreak/>
        <w:drawing>
          <wp:inline distT="0" distB="0" distL="0" distR="0">
            <wp:extent cx="2468351" cy="2094260"/>
            <wp:effectExtent l="0" t="0" r="8255"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481626" cy="2105523"/>
                    </a:xfrm>
                    <a:prstGeom prst="rect">
                      <a:avLst/>
                    </a:prstGeom>
                    <a:noFill/>
                  </pic:spPr>
                </pic:pic>
              </a:graphicData>
            </a:graphic>
          </wp:inline>
        </w:drawing>
      </w:r>
    </w:p>
    <w:p w:rsidR="00597AEB" w:rsidRPr="00E401B4" w:rsidRDefault="00597AEB" w:rsidP="00597AEB">
      <w:pPr>
        <w:ind w:leftChars="100" w:left="200"/>
        <w:jc w:val="center"/>
      </w:pPr>
      <w:r w:rsidRPr="00E401B4">
        <w:rPr>
          <w:rFonts w:hint="eastAsia"/>
        </w:rPr>
        <w:t>Figure 7:</w:t>
      </w:r>
      <w:r w:rsidRPr="00E401B4">
        <w:t xml:space="preserve"> computation of HXRES by AUSF/ARPF in option 2. </w:t>
      </w:r>
    </w:p>
    <w:p w:rsidR="00597AEB" w:rsidRPr="00E401B4" w:rsidRDefault="00597AEB" w:rsidP="00597AEB">
      <w:pPr>
        <w:ind w:leftChars="100" w:left="200"/>
      </w:pPr>
      <w:r w:rsidRPr="00E401B4">
        <w:t>This option makes the following modifications to EPS-AKA* [1]:</w:t>
      </w:r>
    </w:p>
    <w:p w:rsidR="00597AEB" w:rsidRPr="00E401B4" w:rsidRDefault="00597AEB" w:rsidP="00597AEB">
      <w:pPr>
        <w:ind w:leftChars="200" w:left="400"/>
      </w:pPr>
      <w:r w:rsidRPr="00E401B4">
        <w:t xml:space="preserve">• AUSF/ARPF uses 128 bit salt </w:t>
      </w:r>
      <w:r w:rsidRPr="00E401B4">
        <w:rPr>
          <w:i/>
        </w:rPr>
        <w:t>s</w:t>
      </w:r>
      <w:r w:rsidRPr="00E401B4">
        <w:t xml:space="preserve"> as input to computation of HXRES; AUSF/ARPF sends to SEAF the salt </w:t>
      </w:r>
      <w:r w:rsidRPr="00E401B4">
        <w:rPr>
          <w:i/>
        </w:rPr>
        <w:t>s</w:t>
      </w:r>
      <w:r w:rsidRPr="00E401B4">
        <w:t>, together with HXRES.</w:t>
      </w:r>
    </w:p>
    <w:p w:rsidR="00597AEB" w:rsidRPr="00E401B4" w:rsidRDefault="00597AEB" w:rsidP="00597AEB">
      <w:pPr>
        <w:ind w:leftChars="200" w:left="400"/>
      </w:pPr>
      <w:r w:rsidRPr="00E401B4">
        <w:t>• The size of HXRES depends on whether</w:t>
      </w:r>
      <w:r w:rsidRPr="00E401B4">
        <w:rPr>
          <w:rFonts w:hint="eastAsia"/>
        </w:rPr>
        <w:t xml:space="preserve"> AUSF/ARPF applies </w:t>
      </w:r>
      <w:r w:rsidRPr="00E401B4">
        <w:t xml:space="preserve">(or not) </w:t>
      </w:r>
      <w:r w:rsidRPr="00E401B4">
        <w:rPr>
          <w:rFonts w:hint="eastAsia"/>
        </w:rPr>
        <w:t>additional control over UE authentication</w:t>
      </w:r>
      <w:r w:rsidRPr="00E401B4">
        <w:t>:</w:t>
      </w:r>
      <w:r w:rsidRPr="00E401B4">
        <w:rPr>
          <w:rFonts w:hint="eastAsia"/>
        </w:rPr>
        <w:t xml:space="preserve"> </w:t>
      </w:r>
    </w:p>
    <w:p w:rsidR="00597AEB" w:rsidRPr="00E401B4" w:rsidRDefault="00597AEB" w:rsidP="00597AEB">
      <w:pPr>
        <w:ind w:leftChars="300" w:left="600"/>
      </w:pPr>
      <w:r w:rsidRPr="00E401B4">
        <w:t xml:space="preserve">- </w:t>
      </w:r>
      <w:r w:rsidRPr="00E401B4">
        <w:rPr>
          <w:rFonts w:hint="eastAsia"/>
        </w:rPr>
        <w:t>If AUSF/ARPF does not apply additional control over UE authentication</w:t>
      </w:r>
      <w:r w:rsidRPr="00E401B4">
        <w:t xml:space="preserve">, then the size of HXRES is the same as the size of XRES: |HXRES| = |XRES|. </w:t>
      </w:r>
    </w:p>
    <w:p w:rsidR="00597AEB" w:rsidRPr="00E401B4" w:rsidRDefault="00597AEB" w:rsidP="00597AEB">
      <w:pPr>
        <w:ind w:leftChars="300" w:left="600"/>
      </w:pPr>
      <w:r w:rsidRPr="00E401B4">
        <w:t xml:space="preserve">- </w:t>
      </w:r>
      <w:r w:rsidRPr="00E401B4">
        <w:rPr>
          <w:rFonts w:hint="eastAsia"/>
        </w:rPr>
        <w:t>If AUSF/ARPF applies additional control over UE authentication</w:t>
      </w:r>
      <w:r w:rsidRPr="00E401B4">
        <w:t xml:space="preserve"> (where the SEAF sends RES to AUSF/ARPF in the Authentication Confirmation message), then the size of HXRES is </w:t>
      </w:r>
      <w:r w:rsidRPr="00E401B4">
        <w:rPr>
          <w:i/>
        </w:rPr>
        <w:t>j</w:t>
      </w:r>
      <w:r w:rsidRPr="00E401B4">
        <w:t xml:space="preserve"> bits less than the size of XRES: |XRES| - |HXRES| = </w:t>
      </w:r>
      <w:r w:rsidRPr="00E401B4">
        <w:rPr>
          <w:i/>
        </w:rPr>
        <w:t>j</w:t>
      </w:r>
      <w:r w:rsidRPr="00E401B4">
        <w:t>.</w:t>
      </w:r>
      <w:r w:rsidRPr="00E401B4">
        <w:rPr>
          <w:rFonts w:hint="eastAsia"/>
        </w:rPr>
        <w:t xml:space="preserve"> </w:t>
      </w:r>
      <w:r w:rsidRPr="00E401B4">
        <w:t xml:space="preserve">(We leave it </w:t>
      </w:r>
      <w:proofErr w:type="spellStart"/>
      <w:r w:rsidRPr="00E401B4">
        <w:t>ffs</w:t>
      </w:r>
      <w:proofErr w:type="spellEnd"/>
      <w:r w:rsidRPr="00E401B4">
        <w:t xml:space="preserve"> whether </w:t>
      </w:r>
      <w:r w:rsidRPr="00E401B4">
        <w:rPr>
          <w:i/>
        </w:rPr>
        <w:t>j</w:t>
      </w:r>
      <w:r w:rsidRPr="00E401B4">
        <w:t xml:space="preserve"> should be a constant or a variable parameter.)</w:t>
      </w:r>
    </w:p>
    <w:p w:rsidR="00597AEB" w:rsidRPr="00E401B4" w:rsidRDefault="00597AEB" w:rsidP="00597AEB">
      <w:pPr>
        <w:ind w:leftChars="100" w:left="200"/>
      </w:pPr>
      <w:r w:rsidRPr="00E401B4">
        <w:t xml:space="preserve">The fact that the UE does not know the salt </w:t>
      </w:r>
      <w:r w:rsidRPr="00E401B4">
        <w:rPr>
          <w:i/>
        </w:rPr>
        <w:t>s</w:t>
      </w:r>
      <w:r w:rsidRPr="00E401B4">
        <w:t xml:space="preserve"> means that it cannot reconstruct HXRES. This mitigates attack 2: </w:t>
      </w:r>
    </w:p>
    <w:p w:rsidR="00597AEB" w:rsidRPr="00E401B4" w:rsidRDefault="00597AEB" w:rsidP="00597AEB">
      <w:pPr>
        <w:ind w:leftChars="200" w:left="400"/>
      </w:pPr>
      <w:r w:rsidRPr="00E401B4">
        <w:t>UE has no way of knowing which other values of RES would lead to the same value of HXRES. Therefore, the best strategy for UE is to simply guess, and success probability</w:t>
      </w:r>
      <w:r w:rsidRPr="00E401B4">
        <w:rPr>
          <w:i/>
          <w:iCs/>
        </w:rPr>
        <w:t xml:space="preserve"> </w:t>
      </w:r>
      <w:r w:rsidRPr="00E401B4">
        <w:t>is 1 out of 2</w:t>
      </w:r>
      <w:r w:rsidRPr="00E401B4">
        <w:rPr>
          <w:i/>
          <w:iCs/>
          <w:vertAlign w:val="superscript"/>
        </w:rPr>
        <w:t>i</w:t>
      </w:r>
      <w:r w:rsidRPr="00E401B4">
        <w:t xml:space="preserve">, where </w:t>
      </w:r>
      <w:proofErr w:type="spellStart"/>
      <w:r w:rsidRPr="00E401B4">
        <w:rPr>
          <w:i/>
        </w:rPr>
        <w:t>i</w:t>
      </w:r>
      <w:proofErr w:type="spellEnd"/>
      <w:r w:rsidRPr="00E401B4">
        <w:t xml:space="preserve"> </w:t>
      </w:r>
      <w:proofErr w:type="gramStart"/>
      <w:r w:rsidRPr="00E401B4">
        <w:t>is</w:t>
      </w:r>
      <w:proofErr w:type="gramEnd"/>
      <w:r w:rsidRPr="00E401B4">
        <w:t xml:space="preserve"> the size of HXRES.</w:t>
      </w:r>
    </w:p>
    <w:p w:rsidR="00597AEB" w:rsidRPr="00E401B4" w:rsidRDefault="00597AEB" w:rsidP="00597AEB">
      <w:pPr>
        <w:ind w:leftChars="100" w:left="200"/>
      </w:pPr>
      <w:r w:rsidRPr="00E401B4">
        <w:rPr>
          <w:rFonts w:hint="eastAsia"/>
        </w:rPr>
        <w:t xml:space="preserve">The </w:t>
      </w:r>
      <w:r w:rsidRPr="00E401B4">
        <w:t>fact that the size of HXRES is less than the size of XRES mitigates attack 1:</w:t>
      </w:r>
    </w:p>
    <w:p w:rsidR="00597AEB" w:rsidRPr="00E401B4" w:rsidRDefault="00597AEB" w:rsidP="00597AEB">
      <w:pPr>
        <w:ind w:leftChars="200" w:left="400"/>
      </w:pPr>
      <w:r w:rsidRPr="00E401B4">
        <w:t xml:space="preserve">The SEAF knows the salt </w:t>
      </w:r>
      <w:r w:rsidRPr="00E401B4">
        <w:rPr>
          <w:i/>
        </w:rPr>
        <w:t>s</w:t>
      </w:r>
      <w:r w:rsidRPr="00E401B4">
        <w:t xml:space="preserve"> and it knows the value HXRES, but without executing the authentication with the (valid) UE it does not know RES: With the salt </w:t>
      </w:r>
      <w:r w:rsidRPr="00E401B4">
        <w:rPr>
          <w:i/>
        </w:rPr>
        <w:t>s</w:t>
      </w:r>
      <w:r w:rsidRPr="00E401B4">
        <w:t xml:space="preserve"> and the value HXRES, it is possible for SEAF to compute values of RES that would lead to HXRES. But the rogue SEAF has no way to find out which of the possible RES-values would be the correct one. If HXRES is </w:t>
      </w:r>
      <w:r w:rsidRPr="00E401B4">
        <w:rPr>
          <w:i/>
        </w:rPr>
        <w:t>j</w:t>
      </w:r>
      <w:r w:rsidRPr="00E401B4">
        <w:t xml:space="preserve"> bits shorter than XRES, then the success chance by guessing is 1 out of 2</w:t>
      </w:r>
      <w:r w:rsidRPr="00E401B4">
        <w:rPr>
          <w:i/>
          <w:iCs/>
          <w:vertAlign w:val="superscript"/>
        </w:rPr>
        <w:t>j</w:t>
      </w:r>
      <w:r w:rsidRPr="00E401B4">
        <w:t xml:space="preserve"> (because the set of pre-images of HXRES has in average 2</w:t>
      </w:r>
      <w:r w:rsidRPr="00E401B4">
        <w:rPr>
          <w:i/>
          <w:iCs/>
          <w:vertAlign w:val="superscript"/>
        </w:rPr>
        <w:t>j</w:t>
      </w:r>
      <w:r w:rsidRPr="00E401B4">
        <w:t xml:space="preserve"> elements.) </w:t>
      </w:r>
    </w:p>
    <w:p w:rsidR="00597AEB" w:rsidRPr="00E401B4" w:rsidRDefault="00597AEB" w:rsidP="00597AEB">
      <w:pPr>
        <w:ind w:leftChars="100" w:left="200"/>
      </w:pPr>
      <w:r w:rsidRPr="00E401B4">
        <w:t xml:space="preserve">For example, if the size of XRES is 32 bits and the size of HXRES is one bit less than the size of XRES: </w:t>
      </w:r>
      <w:r w:rsidRPr="00E401B4">
        <w:rPr>
          <w:i/>
        </w:rPr>
        <w:t>j</w:t>
      </w:r>
      <w:r w:rsidRPr="00E401B4">
        <w:t xml:space="preserve"> = 1, then </w:t>
      </w:r>
    </w:p>
    <w:p w:rsidR="00597AEB" w:rsidRPr="00E401B4" w:rsidRDefault="00597AEB" w:rsidP="00597AEB">
      <w:pPr>
        <w:ind w:leftChars="200" w:left="400" w:firstLine="84"/>
        <w:rPr>
          <w:iCs/>
        </w:rPr>
      </w:pPr>
      <w:r w:rsidRPr="00E401B4">
        <w:t>(</w:t>
      </w:r>
      <w:proofErr w:type="spellStart"/>
      <w:r w:rsidRPr="00E401B4">
        <w:t>i</w:t>
      </w:r>
      <w:proofErr w:type="spellEnd"/>
      <w:r w:rsidRPr="00E401B4">
        <w:t xml:space="preserve">) The probability that an attacker UE succeeds is 1/ </w:t>
      </w:r>
      <w:proofErr w:type="gramStart"/>
      <w:r w:rsidRPr="00E401B4">
        <w:t>2</w:t>
      </w:r>
      <w:r w:rsidRPr="00E401B4">
        <w:rPr>
          <w:vertAlign w:val="superscript"/>
        </w:rPr>
        <w:t xml:space="preserve">31 </w:t>
      </w:r>
      <m:oMath>
        <w:proofErr w:type="gramEnd"/>
        <m:r>
          <w:rPr>
            <w:rFonts w:ascii="Cambria Math" w:hAnsi="Cambria Math"/>
          </w:rPr>
          <m:t>≈0.5∙</m:t>
        </m:r>
        <m:sSup>
          <m:sSupPr>
            <m:ctrlPr>
              <w:rPr>
                <w:rFonts w:ascii="Cambria Math" w:hAnsi="Cambria Math"/>
                <w:i/>
                <w:iCs/>
                <w:lang w:val="fi-FI"/>
              </w:rPr>
            </m:ctrlPr>
          </m:sSupPr>
          <m:e>
            <m:r>
              <w:rPr>
                <w:rFonts w:ascii="Cambria Math" w:hAnsi="Cambria Math"/>
              </w:rPr>
              <m:t>10</m:t>
            </m:r>
          </m:e>
          <m:sup>
            <m:r>
              <w:rPr>
                <w:rFonts w:ascii="Cambria Math" w:hAnsi="Cambria Math"/>
              </w:rPr>
              <m:t>-9</m:t>
            </m:r>
          </m:sup>
        </m:sSup>
      </m:oMath>
      <w:r w:rsidRPr="00E401B4">
        <w:rPr>
          <w:iCs/>
        </w:rPr>
        <w:t xml:space="preserve">. </w:t>
      </w:r>
    </w:p>
    <w:p w:rsidR="00597AEB" w:rsidRPr="00E401B4" w:rsidRDefault="00597AEB" w:rsidP="00597AEB">
      <w:pPr>
        <w:ind w:leftChars="200" w:left="400" w:firstLine="84"/>
      </w:pPr>
      <w:r w:rsidRPr="00E401B4">
        <w:rPr>
          <w:iCs/>
        </w:rPr>
        <w:t xml:space="preserve">(ii) </w:t>
      </w:r>
      <w:r w:rsidRPr="00E401B4">
        <w:t xml:space="preserve">The probability that SEAF succeeds in a single guess is 1/2 (because there are two values of XRES that result in same HXRES.) Please note that even this probability is small enough to prevent systematic cheating by rogue SEAF: while half of the rogue SEAF attempts to guess XRES would succeed on the average; the other half will fail; a failure to guess XRES immediately makes the SEAF suspect in the eyes of the </w:t>
      </w:r>
      <w:proofErr w:type="spellStart"/>
      <w:r w:rsidRPr="00E401B4">
        <w:t>hPLMN</w:t>
      </w:r>
      <w:proofErr w:type="spellEnd"/>
      <w:r w:rsidRPr="00E401B4">
        <w:t>.</w:t>
      </w:r>
    </w:p>
    <w:p w:rsidR="00A67046" w:rsidRPr="00597AEB" w:rsidRDefault="00597AEB" w:rsidP="004A3EB7">
      <w:r w:rsidRPr="00E401B4">
        <w:rPr>
          <w:rFonts w:hint="eastAsia"/>
        </w:rPr>
        <w:t xml:space="preserve">Observe that </w:t>
      </w:r>
      <w:r w:rsidRPr="00E401B4">
        <w:t xml:space="preserve">the setting of </w:t>
      </w:r>
      <w:r w:rsidRPr="00E401B4">
        <w:rPr>
          <w:i/>
        </w:rPr>
        <w:t>j</w:t>
      </w:r>
      <w:r w:rsidRPr="00E401B4">
        <w:t xml:space="preserve"> involves a </w:t>
      </w:r>
      <w:proofErr w:type="spellStart"/>
      <w:r w:rsidRPr="00E401B4">
        <w:t>tradeoff</w:t>
      </w:r>
      <w:proofErr w:type="spellEnd"/>
      <w:r w:rsidRPr="00E401B4">
        <w:t xml:space="preserve">: </w:t>
      </w:r>
      <w:r w:rsidRPr="00E401B4">
        <w:rPr>
          <w:rFonts w:hint="eastAsia"/>
        </w:rPr>
        <w:t xml:space="preserve">increasing </w:t>
      </w:r>
      <w:r w:rsidRPr="00E401B4">
        <w:rPr>
          <w:i/>
        </w:rPr>
        <w:t>j</w:t>
      </w:r>
      <w:r w:rsidRPr="00E401B4">
        <w:t xml:space="preserve"> in the above example from </w:t>
      </w:r>
      <w:r w:rsidRPr="00E401B4">
        <w:rPr>
          <w:i/>
        </w:rPr>
        <w:t>j</w:t>
      </w:r>
      <w:r w:rsidRPr="00E401B4">
        <w:t xml:space="preserve"> = 1 to </w:t>
      </w:r>
      <w:r w:rsidRPr="00E401B4">
        <w:rPr>
          <w:i/>
        </w:rPr>
        <w:t>j</w:t>
      </w:r>
      <w:r w:rsidRPr="00E401B4">
        <w:t xml:space="preserve"> = 2, decreases the probability (ii) from 1/2 to 1/4; but at the same time, it also increases the probability (</w:t>
      </w:r>
      <w:proofErr w:type="spellStart"/>
      <w:r w:rsidRPr="00E401B4">
        <w:t>i</w:t>
      </w:r>
      <w:proofErr w:type="spellEnd"/>
      <w:r w:rsidRPr="00E401B4">
        <w:t>) from 1/ 2</w:t>
      </w:r>
      <w:r w:rsidRPr="00E401B4">
        <w:rPr>
          <w:vertAlign w:val="superscript"/>
        </w:rPr>
        <w:t>31</w:t>
      </w:r>
      <w:r w:rsidRPr="00E401B4">
        <w:t xml:space="preserve"> to 1/ 2</w:t>
      </w:r>
      <w:r w:rsidRPr="00E401B4">
        <w:rPr>
          <w:vertAlign w:val="superscript"/>
        </w:rPr>
        <w:t>30</w:t>
      </w:r>
      <m:oMath>
        <m:r>
          <w:rPr>
            <w:rFonts w:ascii="Cambria Math" w:hAnsi="Cambria Math"/>
          </w:rPr>
          <m:t xml:space="preserve"> ≈</m:t>
        </m:r>
        <m:sSup>
          <m:sSupPr>
            <m:ctrlPr>
              <w:rPr>
                <w:rFonts w:ascii="Cambria Math" w:hAnsi="Cambria Math"/>
                <w:i/>
                <w:iCs/>
                <w:lang w:val="fi-FI"/>
              </w:rPr>
            </m:ctrlPr>
          </m:sSupPr>
          <m:e>
            <m:r>
              <w:rPr>
                <w:rFonts w:ascii="Cambria Math" w:hAnsi="Cambria Math"/>
              </w:rPr>
              <m:t>10</m:t>
            </m:r>
          </m:e>
          <m:sup>
            <m:r>
              <w:rPr>
                <w:rFonts w:ascii="Cambria Math" w:hAnsi="Cambria Math"/>
              </w:rPr>
              <m:t>-9</m:t>
            </m:r>
          </m:sup>
        </m:sSup>
      </m:oMath>
      <w:r w:rsidRPr="00E401B4">
        <w:rPr>
          <w:rFonts w:hint="eastAsia"/>
          <w:iCs/>
        </w:rPr>
        <w:t xml:space="preserve"> </w:t>
      </w:r>
      <w:r>
        <w:rPr>
          <w:iCs/>
        </w:rPr>
        <w:t>(</w:t>
      </w:r>
      <w:r w:rsidRPr="00E401B4">
        <w:rPr>
          <w:rFonts w:hint="eastAsia"/>
          <w:iCs/>
        </w:rPr>
        <w:t xml:space="preserve">with </w:t>
      </w:r>
      <w:r w:rsidRPr="00E401B4">
        <w:rPr>
          <w:i/>
        </w:rPr>
        <w:t>j</w:t>
      </w:r>
      <w:r w:rsidRPr="00E401B4">
        <w:t xml:space="preserve"> = 16, both probabilities (</w:t>
      </w:r>
      <w:proofErr w:type="spellStart"/>
      <w:r w:rsidRPr="00E401B4">
        <w:t>i</w:t>
      </w:r>
      <w:proofErr w:type="spellEnd"/>
      <w:r w:rsidRPr="00E401B4">
        <w:t>) and (ii) are equal to 1/ 2</w:t>
      </w:r>
      <w:r w:rsidRPr="00E401B4">
        <w:rPr>
          <w:vertAlign w:val="superscript"/>
        </w:rPr>
        <w:t>16</w:t>
      </w:r>
      <m:oMath>
        <m:r>
          <w:rPr>
            <w:rFonts w:ascii="Cambria Math" w:hAnsi="Cambria Math"/>
          </w:rPr>
          <m:t xml:space="preserve"> ≈</m:t>
        </m:r>
        <m:sSup>
          <m:sSupPr>
            <m:ctrlPr>
              <w:rPr>
                <w:rFonts w:ascii="Cambria Math" w:hAnsi="Cambria Math"/>
                <w:i/>
                <w:iCs/>
                <w:lang w:val="fi-FI"/>
              </w:rPr>
            </m:ctrlPr>
          </m:sSupPr>
          <m:e>
            <m:r>
              <w:rPr>
                <w:rFonts w:ascii="Cambria Math" w:hAnsi="Cambria Math"/>
              </w:rPr>
              <m:t>1.5∙10</m:t>
            </m:r>
          </m:e>
          <m:sup>
            <m:r>
              <w:rPr>
                <w:rFonts w:ascii="Cambria Math" w:hAnsi="Cambria Math"/>
              </w:rPr>
              <m:t>-5</m:t>
            </m:r>
          </m:sup>
        </m:sSup>
      </m:oMath>
      <w:r w:rsidRPr="000851C3">
        <w:rPr>
          <w:rFonts w:hint="eastAsia"/>
          <w:iCs/>
        </w:rPr>
        <w:t>)</w:t>
      </w:r>
      <w:r w:rsidRPr="00E401B4">
        <w:rPr>
          <w:rFonts w:hint="eastAsia"/>
          <w:iCs/>
        </w:rPr>
        <w:t>.</w:t>
      </w:r>
    </w:p>
    <w:sectPr w:rsidR="00A67046" w:rsidRPr="00597AEB" w:rsidSect="002112FF">
      <w:footnotePr>
        <w:numRestart w:val="eachSect"/>
      </w:footnotePr>
      <w:pgSz w:w="11907" w:h="16840" w:code="9"/>
      <w:pgMar w:top="567" w:right="1134" w:bottom="567"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96889" w:rsidRDefault="00E96889">
      <w:r>
        <w:separator/>
      </w:r>
    </w:p>
  </w:endnote>
  <w:endnote w:type="continuationSeparator" w:id="0">
    <w:p w:rsidR="00E96889" w:rsidRDefault="00E96889">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宋体">
    <w:altName w:val="Arial Unicode MS"/>
    <w:charset w:val="50"/>
    <w:family w:val="auto"/>
    <w:pitch w:val="variable"/>
    <w:sig w:usb0="00000000"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96889" w:rsidRDefault="00E96889">
      <w:r>
        <w:separator/>
      </w:r>
    </w:p>
  </w:footnote>
  <w:footnote w:type="continuationSeparator" w:id="0">
    <w:p w:rsidR="00E96889" w:rsidRDefault="00E9688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F50C7392"/>
    <w:lvl w:ilvl="0">
      <w:start w:val="1"/>
      <w:numFmt w:val="decimal"/>
      <w:lvlText w:val="%1."/>
      <w:lvlJc w:val="left"/>
      <w:pPr>
        <w:tabs>
          <w:tab w:val="num" w:pos="643"/>
        </w:tabs>
        <w:ind w:left="643" w:hanging="360"/>
      </w:pPr>
    </w:lvl>
  </w:abstractNum>
  <w:abstractNum w:abstractNumId="1">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95C893D4"/>
    <w:lvl w:ilvl="0">
      <w:start w:val="1"/>
      <w:numFmt w:val="decimal"/>
      <w:lvlText w:val="%1."/>
      <w:lvlJc w:val="left"/>
      <w:pPr>
        <w:tabs>
          <w:tab w:val="num" w:pos="360"/>
        </w:tabs>
        <w:ind w:left="360" w:hanging="360"/>
      </w:pPr>
    </w:lvl>
  </w:abstractNum>
  <w:abstractNum w:abstractNumId="6">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nsid w:val="FFFFFFFE"/>
    <w:multiLevelType w:val="singleLevel"/>
    <w:tmpl w:val="FFFFFFFF"/>
    <w:lvl w:ilvl="0">
      <w:numFmt w:val="decimal"/>
      <w:lvlText w:val="*"/>
      <w:lvlJc w:val="left"/>
    </w:lvl>
  </w:abstractNum>
  <w:abstractNum w:abstractNumId="8">
    <w:nsid w:val="00A61CD1"/>
    <w:multiLevelType w:val="hybridMultilevel"/>
    <w:tmpl w:val="4468D21A"/>
    <w:lvl w:ilvl="0" w:tplc="CF9416A0">
      <w:start w:val="1"/>
      <w:numFmt w:val="bullet"/>
      <w:lvlText w:val="•"/>
      <w:lvlJc w:val="left"/>
      <w:pPr>
        <w:tabs>
          <w:tab w:val="num" w:pos="720"/>
        </w:tabs>
        <w:ind w:left="720" w:hanging="360"/>
      </w:pPr>
      <w:rPr>
        <w:rFonts w:ascii="Arial" w:hAnsi="Arial" w:hint="default"/>
      </w:rPr>
    </w:lvl>
    <w:lvl w:ilvl="1" w:tplc="654A3B2E">
      <w:numFmt w:val="bullet"/>
      <w:lvlText w:val="•"/>
      <w:lvlJc w:val="left"/>
      <w:pPr>
        <w:tabs>
          <w:tab w:val="num" w:pos="1440"/>
        </w:tabs>
        <w:ind w:left="1440" w:hanging="360"/>
      </w:pPr>
      <w:rPr>
        <w:rFonts w:ascii="Arial" w:hAnsi="Arial" w:hint="default"/>
      </w:rPr>
    </w:lvl>
    <w:lvl w:ilvl="2" w:tplc="E3A839AC">
      <w:numFmt w:val="bullet"/>
      <w:lvlText w:val="•"/>
      <w:lvlJc w:val="left"/>
      <w:pPr>
        <w:tabs>
          <w:tab w:val="num" w:pos="2160"/>
        </w:tabs>
        <w:ind w:left="2160" w:hanging="360"/>
      </w:pPr>
      <w:rPr>
        <w:rFonts w:ascii="Arial" w:hAnsi="Arial" w:hint="default"/>
      </w:rPr>
    </w:lvl>
    <w:lvl w:ilvl="3" w:tplc="FFA2A8F6" w:tentative="1">
      <w:start w:val="1"/>
      <w:numFmt w:val="bullet"/>
      <w:lvlText w:val="•"/>
      <w:lvlJc w:val="left"/>
      <w:pPr>
        <w:tabs>
          <w:tab w:val="num" w:pos="2880"/>
        </w:tabs>
        <w:ind w:left="2880" w:hanging="360"/>
      </w:pPr>
      <w:rPr>
        <w:rFonts w:ascii="Arial" w:hAnsi="Arial" w:hint="default"/>
      </w:rPr>
    </w:lvl>
    <w:lvl w:ilvl="4" w:tplc="5BB825AC" w:tentative="1">
      <w:start w:val="1"/>
      <w:numFmt w:val="bullet"/>
      <w:lvlText w:val="•"/>
      <w:lvlJc w:val="left"/>
      <w:pPr>
        <w:tabs>
          <w:tab w:val="num" w:pos="3600"/>
        </w:tabs>
        <w:ind w:left="3600" w:hanging="360"/>
      </w:pPr>
      <w:rPr>
        <w:rFonts w:ascii="Arial" w:hAnsi="Arial" w:hint="default"/>
      </w:rPr>
    </w:lvl>
    <w:lvl w:ilvl="5" w:tplc="A954A21E" w:tentative="1">
      <w:start w:val="1"/>
      <w:numFmt w:val="bullet"/>
      <w:lvlText w:val="•"/>
      <w:lvlJc w:val="left"/>
      <w:pPr>
        <w:tabs>
          <w:tab w:val="num" w:pos="4320"/>
        </w:tabs>
        <w:ind w:left="4320" w:hanging="360"/>
      </w:pPr>
      <w:rPr>
        <w:rFonts w:ascii="Arial" w:hAnsi="Arial" w:hint="default"/>
      </w:rPr>
    </w:lvl>
    <w:lvl w:ilvl="6" w:tplc="C08C40CC" w:tentative="1">
      <w:start w:val="1"/>
      <w:numFmt w:val="bullet"/>
      <w:lvlText w:val="•"/>
      <w:lvlJc w:val="left"/>
      <w:pPr>
        <w:tabs>
          <w:tab w:val="num" w:pos="5040"/>
        </w:tabs>
        <w:ind w:left="5040" w:hanging="360"/>
      </w:pPr>
      <w:rPr>
        <w:rFonts w:ascii="Arial" w:hAnsi="Arial" w:hint="default"/>
      </w:rPr>
    </w:lvl>
    <w:lvl w:ilvl="7" w:tplc="32C28C3E" w:tentative="1">
      <w:start w:val="1"/>
      <w:numFmt w:val="bullet"/>
      <w:lvlText w:val="•"/>
      <w:lvlJc w:val="left"/>
      <w:pPr>
        <w:tabs>
          <w:tab w:val="num" w:pos="5760"/>
        </w:tabs>
        <w:ind w:left="5760" w:hanging="360"/>
      </w:pPr>
      <w:rPr>
        <w:rFonts w:ascii="Arial" w:hAnsi="Arial" w:hint="default"/>
      </w:rPr>
    </w:lvl>
    <w:lvl w:ilvl="8" w:tplc="AA7CF412" w:tentative="1">
      <w:start w:val="1"/>
      <w:numFmt w:val="bullet"/>
      <w:lvlText w:val="•"/>
      <w:lvlJc w:val="left"/>
      <w:pPr>
        <w:tabs>
          <w:tab w:val="num" w:pos="6480"/>
        </w:tabs>
        <w:ind w:left="6480" w:hanging="360"/>
      </w:pPr>
      <w:rPr>
        <w:rFonts w:ascii="Arial" w:hAnsi="Arial" w:hint="default"/>
      </w:rPr>
    </w:lvl>
  </w:abstractNum>
  <w:abstractNum w:abstractNumId="9">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nsid w:val="24DB277C"/>
    <w:multiLevelType w:val="hybridMultilevel"/>
    <w:tmpl w:val="D6A2B9BC"/>
    <w:lvl w:ilvl="0" w:tplc="04F8ECDC">
      <w:start w:val="1"/>
      <w:numFmt w:val="bullet"/>
      <w:lvlText w:val="•"/>
      <w:lvlJc w:val="left"/>
      <w:pPr>
        <w:tabs>
          <w:tab w:val="num" w:pos="720"/>
        </w:tabs>
        <w:ind w:left="720" w:hanging="360"/>
      </w:pPr>
      <w:rPr>
        <w:rFonts w:ascii="Arial" w:hAnsi="Arial" w:hint="default"/>
      </w:rPr>
    </w:lvl>
    <w:lvl w:ilvl="1" w:tplc="5B1255D0">
      <w:start w:val="1"/>
      <w:numFmt w:val="bullet"/>
      <w:lvlText w:val="•"/>
      <w:lvlJc w:val="left"/>
      <w:pPr>
        <w:tabs>
          <w:tab w:val="num" w:pos="1440"/>
        </w:tabs>
        <w:ind w:left="1440" w:hanging="360"/>
      </w:pPr>
      <w:rPr>
        <w:rFonts w:ascii="Arial" w:hAnsi="Arial" w:hint="default"/>
      </w:rPr>
    </w:lvl>
    <w:lvl w:ilvl="2" w:tplc="76FC1420">
      <w:numFmt w:val="bullet"/>
      <w:lvlText w:val="•"/>
      <w:lvlJc w:val="left"/>
      <w:pPr>
        <w:tabs>
          <w:tab w:val="num" w:pos="2160"/>
        </w:tabs>
        <w:ind w:left="2160" w:hanging="360"/>
      </w:pPr>
      <w:rPr>
        <w:rFonts w:ascii="Arial" w:hAnsi="Arial" w:hint="default"/>
      </w:rPr>
    </w:lvl>
    <w:lvl w:ilvl="3" w:tplc="63648A88" w:tentative="1">
      <w:start w:val="1"/>
      <w:numFmt w:val="bullet"/>
      <w:lvlText w:val="•"/>
      <w:lvlJc w:val="left"/>
      <w:pPr>
        <w:tabs>
          <w:tab w:val="num" w:pos="2880"/>
        </w:tabs>
        <w:ind w:left="2880" w:hanging="360"/>
      </w:pPr>
      <w:rPr>
        <w:rFonts w:ascii="Arial" w:hAnsi="Arial" w:hint="default"/>
      </w:rPr>
    </w:lvl>
    <w:lvl w:ilvl="4" w:tplc="EF26086A" w:tentative="1">
      <w:start w:val="1"/>
      <w:numFmt w:val="bullet"/>
      <w:lvlText w:val="•"/>
      <w:lvlJc w:val="left"/>
      <w:pPr>
        <w:tabs>
          <w:tab w:val="num" w:pos="3600"/>
        </w:tabs>
        <w:ind w:left="3600" w:hanging="360"/>
      </w:pPr>
      <w:rPr>
        <w:rFonts w:ascii="Arial" w:hAnsi="Arial" w:hint="default"/>
      </w:rPr>
    </w:lvl>
    <w:lvl w:ilvl="5" w:tplc="3EC8D0C0" w:tentative="1">
      <w:start w:val="1"/>
      <w:numFmt w:val="bullet"/>
      <w:lvlText w:val="•"/>
      <w:lvlJc w:val="left"/>
      <w:pPr>
        <w:tabs>
          <w:tab w:val="num" w:pos="4320"/>
        </w:tabs>
        <w:ind w:left="4320" w:hanging="360"/>
      </w:pPr>
      <w:rPr>
        <w:rFonts w:ascii="Arial" w:hAnsi="Arial" w:hint="default"/>
      </w:rPr>
    </w:lvl>
    <w:lvl w:ilvl="6" w:tplc="130E45EC" w:tentative="1">
      <w:start w:val="1"/>
      <w:numFmt w:val="bullet"/>
      <w:lvlText w:val="•"/>
      <w:lvlJc w:val="left"/>
      <w:pPr>
        <w:tabs>
          <w:tab w:val="num" w:pos="5040"/>
        </w:tabs>
        <w:ind w:left="5040" w:hanging="360"/>
      </w:pPr>
      <w:rPr>
        <w:rFonts w:ascii="Arial" w:hAnsi="Arial" w:hint="default"/>
      </w:rPr>
    </w:lvl>
    <w:lvl w:ilvl="7" w:tplc="FFA855EE" w:tentative="1">
      <w:start w:val="1"/>
      <w:numFmt w:val="bullet"/>
      <w:lvlText w:val="•"/>
      <w:lvlJc w:val="left"/>
      <w:pPr>
        <w:tabs>
          <w:tab w:val="num" w:pos="5760"/>
        </w:tabs>
        <w:ind w:left="5760" w:hanging="360"/>
      </w:pPr>
      <w:rPr>
        <w:rFonts w:ascii="Arial" w:hAnsi="Arial" w:hint="default"/>
      </w:rPr>
    </w:lvl>
    <w:lvl w:ilvl="8" w:tplc="047AFF2E" w:tentative="1">
      <w:start w:val="1"/>
      <w:numFmt w:val="bullet"/>
      <w:lvlText w:val="•"/>
      <w:lvlJc w:val="left"/>
      <w:pPr>
        <w:tabs>
          <w:tab w:val="num" w:pos="6480"/>
        </w:tabs>
        <w:ind w:left="6480" w:hanging="360"/>
      </w:pPr>
      <w:rPr>
        <w:rFonts w:ascii="Arial" w:hAnsi="Arial" w:hint="default"/>
      </w:rPr>
    </w:lvl>
  </w:abstractNum>
  <w:abstractNum w:abstractNumId="14">
    <w:nsid w:val="2DC50E33"/>
    <w:multiLevelType w:val="hybridMultilevel"/>
    <w:tmpl w:val="B896E21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6"/>
  </w:num>
  <w:num w:numId="5">
    <w:abstractNumId w:val="15"/>
  </w:num>
  <w:num w:numId="6">
    <w:abstractNumId w:val="9"/>
  </w:num>
  <w:num w:numId="7">
    <w:abstractNumId w:val="10"/>
  </w:num>
  <w:num w:numId="8">
    <w:abstractNumId w:val="20"/>
  </w:num>
  <w:num w:numId="9">
    <w:abstractNumId w:val="18"/>
  </w:num>
  <w:num w:numId="10">
    <w:abstractNumId w:val="19"/>
  </w:num>
  <w:num w:numId="11">
    <w:abstractNumId w:val="12"/>
  </w:num>
  <w:num w:numId="12">
    <w:abstractNumId w:val="17"/>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3"/>
  </w:num>
  <w:num w:numId="21">
    <w:abstractNumId w:val="8"/>
  </w:num>
  <w:num w:numId="22">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8"/>
  <w:printFractionalCharacterWidth/>
  <w:embedSystemFonts/>
  <w:bordersDoNotSurroundHeader/>
  <w:bordersDoNotSurroundFooter/>
  <w:hideSpellingError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proofState w:spelling="clean" w:grammar="clean"/>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5122"/>
  </w:hdrShapeDefaults>
  <w:footnotePr>
    <w:numRestart w:val="eachSect"/>
    <w:footnote w:id="-1"/>
    <w:footnote w:id="0"/>
  </w:footnotePr>
  <w:endnotePr>
    <w:endnote w:id="-1"/>
    <w:endnote w:id="0"/>
  </w:endnotePr>
  <w:compat>
    <w:doNotUseHTMLParagraphAutoSpacing/>
    <w:useFELayout/>
  </w:compat>
  <w:rsids>
    <w:rsidRoot w:val="00E30155"/>
    <w:rsid w:val="00000E40"/>
    <w:rsid w:val="000100AB"/>
    <w:rsid w:val="00012478"/>
    <w:rsid w:val="00012515"/>
    <w:rsid w:val="00012657"/>
    <w:rsid w:val="00015CD2"/>
    <w:rsid w:val="00022470"/>
    <w:rsid w:val="0003154E"/>
    <w:rsid w:val="00036FB6"/>
    <w:rsid w:val="0004205B"/>
    <w:rsid w:val="00042DDC"/>
    <w:rsid w:val="00046CAD"/>
    <w:rsid w:val="000646D0"/>
    <w:rsid w:val="000666E0"/>
    <w:rsid w:val="00072580"/>
    <w:rsid w:val="00073068"/>
    <w:rsid w:val="000738D1"/>
    <w:rsid w:val="000819D8"/>
    <w:rsid w:val="00082851"/>
    <w:rsid w:val="00083E9E"/>
    <w:rsid w:val="0008660B"/>
    <w:rsid w:val="000911DA"/>
    <w:rsid w:val="000A06AB"/>
    <w:rsid w:val="000A0F3C"/>
    <w:rsid w:val="000B5FF8"/>
    <w:rsid w:val="000B654E"/>
    <w:rsid w:val="000B756E"/>
    <w:rsid w:val="000C1CD8"/>
    <w:rsid w:val="000C27F0"/>
    <w:rsid w:val="000C3674"/>
    <w:rsid w:val="000D2DBE"/>
    <w:rsid w:val="000E702E"/>
    <w:rsid w:val="00103EC3"/>
    <w:rsid w:val="001077C2"/>
    <w:rsid w:val="00113056"/>
    <w:rsid w:val="00113939"/>
    <w:rsid w:val="00120CE2"/>
    <w:rsid w:val="0012546B"/>
    <w:rsid w:val="001268F3"/>
    <w:rsid w:val="00134BF7"/>
    <w:rsid w:val="001408C6"/>
    <w:rsid w:val="001433B2"/>
    <w:rsid w:val="001667C3"/>
    <w:rsid w:val="00167795"/>
    <w:rsid w:val="00175EFC"/>
    <w:rsid w:val="00186349"/>
    <w:rsid w:val="00196837"/>
    <w:rsid w:val="001A0429"/>
    <w:rsid w:val="001B07A6"/>
    <w:rsid w:val="001B3370"/>
    <w:rsid w:val="001B7178"/>
    <w:rsid w:val="001B7E15"/>
    <w:rsid w:val="001C3EC8"/>
    <w:rsid w:val="001C52DB"/>
    <w:rsid w:val="001D2BD4"/>
    <w:rsid w:val="001D7460"/>
    <w:rsid w:val="001F0E3C"/>
    <w:rsid w:val="001F2996"/>
    <w:rsid w:val="0020395B"/>
    <w:rsid w:val="00207550"/>
    <w:rsid w:val="002112FF"/>
    <w:rsid w:val="00213D3F"/>
    <w:rsid w:val="002162DA"/>
    <w:rsid w:val="00221805"/>
    <w:rsid w:val="00230580"/>
    <w:rsid w:val="00231830"/>
    <w:rsid w:val="00231C0F"/>
    <w:rsid w:val="002406A3"/>
    <w:rsid w:val="00244C9A"/>
    <w:rsid w:val="00251975"/>
    <w:rsid w:val="00261036"/>
    <w:rsid w:val="002632C6"/>
    <w:rsid w:val="0026441F"/>
    <w:rsid w:val="00271162"/>
    <w:rsid w:val="002717F4"/>
    <w:rsid w:val="00274177"/>
    <w:rsid w:val="00275B77"/>
    <w:rsid w:val="00285418"/>
    <w:rsid w:val="002923D0"/>
    <w:rsid w:val="00292AD5"/>
    <w:rsid w:val="00297A03"/>
    <w:rsid w:val="002B0226"/>
    <w:rsid w:val="002B5B2E"/>
    <w:rsid w:val="002C2A06"/>
    <w:rsid w:val="002C7798"/>
    <w:rsid w:val="002D1A12"/>
    <w:rsid w:val="002D42B2"/>
    <w:rsid w:val="002F2084"/>
    <w:rsid w:val="003043B7"/>
    <w:rsid w:val="0031630D"/>
    <w:rsid w:val="00321A67"/>
    <w:rsid w:val="0032572E"/>
    <w:rsid w:val="00334DB4"/>
    <w:rsid w:val="003421FC"/>
    <w:rsid w:val="00347EFF"/>
    <w:rsid w:val="00355D74"/>
    <w:rsid w:val="00356A11"/>
    <w:rsid w:val="00356CBD"/>
    <w:rsid w:val="00361386"/>
    <w:rsid w:val="00362C73"/>
    <w:rsid w:val="00371032"/>
    <w:rsid w:val="003871EC"/>
    <w:rsid w:val="00395F0E"/>
    <w:rsid w:val="003A3EEE"/>
    <w:rsid w:val="003A56BE"/>
    <w:rsid w:val="003B6580"/>
    <w:rsid w:val="003B7B43"/>
    <w:rsid w:val="003C42F9"/>
    <w:rsid w:val="003C5A97"/>
    <w:rsid w:val="003C7281"/>
    <w:rsid w:val="003C72FA"/>
    <w:rsid w:val="003D0283"/>
    <w:rsid w:val="003D16C5"/>
    <w:rsid w:val="003E3F2D"/>
    <w:rsid w:val="003F2DEB"/>
    <w:rsid w:val="003F52B2"/>
    <w:rsid w:val="003F755A"/>
    <w:rsid w:val="0040113A"/>
    <w:rsid w:val="00402557"/>
    <w:rsid w:val="00405E98"/>
    <w:rsid w:val="00411ABF"/>
    <w:rsid w:val="00412AB7"/>
    <w:rsid w:val="00420733"/>
    <w:rsid w:val="00420B7D"/>
    <w:rsid w:val="0042172C"/>
    <w:rsid w:val="00423A37"/>
    <w:rsid w:val="00430CAD"/>
    <w:rsid w:val="004416F5"/>
    <w:rsid w:val="004421B5"/>
    <w:rsid w:val="00444CBF"/>
    <w:rsid w:val="004460FE"/>
    <w:rsid w:val="004602AC"/>
    <w:rsid w:val="00464467"/>
    <w:rsid w:val="00472B84"/>
    <w:rsid w:val="004802C2"/>
    <w:rsid w:val="00482BE7"/>
    <w:rsid w:val="00487F92"/>
    <w:rsid w:val="004944C7"/>
    <w:rsid w:val="00494858"/>
    <w:rsid w:val="00497A5D"/>
    <w:rsid w:val="004A3EB7"/>
    <w:rsid w:val="004B316C"/>
    <w:rsid w:val="004B4305"/>
    <w:rsid w:val="004B6B14"/>
    <w:rsid w:val="004C3055"/>
    <w:rsid w:val="004D55C2"/>
    <w:rsid w:val="004E5BC4"/>
    <w:rsid w:val="004F2C8E"/>
    <w:rsid w:val="004F5E41"/>
    <w:rsid w:val="00505885"/>
    <w:rsid w:val="00510683"/>
    <w:rsid w:val="00511BDB"/>
    <w:rsid w:val="00513A10"/>
    <w:rsid w:val="00514E9A"/>
    <w:rsid w:val="00515237"/>
    <w:rsid w:val="0052090D"/>
    <w:rsid w:val="005230EB"/>
    <w:rsid w:val="00523679"/>
    <w:rsid w:val="00526AB9"/>
    <w:rsid w:val="0053172B"/>
    <w:rsid w:val="005328C3"/>
    <w:rsid w:val="005348A6"/>
    <w:rsid w:val="00553A39"/>
    <w:rsid w:val="00557782"/>
    <w:rsid w:val="005729C4"/>
    <w:rsid w:val="005729FA"/>
    <w:rsid w:val="00573186"/>
    <w:rsid w:val="00585F57"/>
    <w:rsid w:val="0059227B"/>
    <w:rsid w:val="00597AEB"/>
    <w:rsid w:val="005A259F"/>
    <w:rsid w:val="005B5E2B"/>
    <w:rsid w:val="005B795D"/>
    <w:rsid w:val="005C5237"/>
    <w:rsid w:val="005E2F60"/>
    <w:rsid w:val="005E7A71"/>
    <w:rsid w:val="005F1B94"/>
    <w:rsid w:val="005F2C6E"/>
    <w:rsid w:val="00601F07"/>
    <w:rsid w:val="006221CB"/>
    <w:rsid w:val="006229BD"/>
    <w:rsid w:val="006248ED"/>
    <w:rsid w:val="006272AA"/>
    <w:rsid w:val="00634B14"/>
    <w:rsid w:val="00636AD8"/>
    <w:rsid w:val="00640329"/>
    <w:rsid w:val="0064574A"/>
    <w:rsid w:val="006458BC"/>
    <w:rsid w:val="00647126"/>
    <w:rsid w:val="00651051"/>
    <w:rsid w:val="00652248"/>
    <w:rsid w:val="00657B80"/>
    <w:rsid w:val="00660438"/>
    <w:rsid w:val="00660604"/>
    <w:rsid w:val="00662DFC"/>
    <w:rsid w:val="00671B28"/>
    <w:rsid w:val="00683677"/>
    <w:rsid w:val="00686F9D"/>
    <w:rsid w:val="006917BD"/>
    <w:rsid w:val="006952BF"/>
    <w:rsid w:val="0069546E"/>
    <w:rsid w:val="006A1FCA"/>
    <w:rsid w:val="006A3459"/>
    <w:rsid w:val="006B1E7A"/>
    <w:rsid w:val="006B7C38"/>
    <w:rsid w:val="006D340A"/>
    <w:rsid w:val="006E62EE"/>
    <w:rsid w:val="006F314B"/>
    <w:rsid w:val="00701451"/>
    <w:rsid w:val="00711073"/>
    <w:rsid w:val="00725B65"/>
    <w:rsid w:val="00727B79"/>
    <w:rsid w:val="0074121F"/>
    <w:rsid w:val="007466E8"/>
    <w:rsid w:val="007522F0"/>
    <w:rsid w:val="00753919"/>
    <w:rsid w:val="0076271C"/>
    <w:rsid w:val="00763515"/>
    <w:rsid w:val="00767400"/>
    <w:rsid w:val="00767F71"/>
    <w:rsid w:val="00783168"/>
    <w:rsid w:val="0078473C"/>
    <w:rsid w:val="00785CDD"/>
    <w:rsid w:val="0079119E"/>
    <w:rsid w:val="00792E72"/>
    <w:rsid w:val="007962C8"/>
    <w:rsid w:val="007A2B85"/>
    <w:rsid w:val="007C27B0"/>
    <w:rsid w:val="007C54E5"/>
    <w:rsid w:val="007D0EA3"/>
    <w:rsid w:val="007D41AF"/>
    <w:rsid w:val="007D5782"/>
    <w:rsid w:val="007E40D2"/>
    <w:rsid w:val="007F300B"/>
    <w:rsid w:val="007F62A6"/>
    <w:rsid w:val="007F7ADA"/>
    <w:rsid w:val="00803C3D"/>
    <w:rsid w:val="00806C8F"/>
    <w:rsid w:val="00814F40"/>
    <w:rsid w:val="008179BB"/>
    <w:rsid w:val="008201D3"/>
    <w:rsid w:val="008234C3"/>
    <w:rsid w:val="00825D55"/>
    <w:rsid w:val="008272DA"/>
    <w:rsid w:val="00827C77"/>
    <w:rsid w:val="00827FA2"/>
    <w:rsid w:val="00834973"/>
    <w:rsid w:val="0083627C"/>
    <w:rsid w:val="00844E7C"/>
    <w:rsid w:val="00847BC1"/>
    <w:rsid w:val="008576E3"/>
    <w:rsid w:val="008647F2"/>
    <w:rsid w:val="00866305"/>
    <w:rsid w:val="0087262E"/>
    <w:rsid w:val="00877105"/>
    <w:rsid w:val="00880D19"/>
    <w:rsid w:val="00881E57"/>
    <w:rsid w:val="008907F8"/>
    <w:rsid w:val="008930A4"/>
    <w:rsid w:val="008A7FCF"/>
    <w:rsid w:val="008B7E5B"/>
    <w:rsid w:val="008C4791"/>
    <w:rsid w:val="008C522D"/>
    <w:rsid w:val="008D2482"/>
    <w:rsid w:val="008D31B0"/>
    <w:rsid w:val="008D4C3A"/>
    <w:rsid w:val="008E55DC"/>
    <w:rsid w:val="00914F91"/>
    <w:rsid w:val="00926ABD"/>
    <w:rsid w:val="00932307"/>
    <w:rsid w:val="0096133C"/>
    <w:rsid w:val="009657C8"/>
    <w:rsid w:val="00966D47"/>
    <w:rsid w:val="00967E14"/>
    <w:rsid w:val="00970DC0"/>
    <w:rsid w:val="00971537"/>
    <w:rsid w:val="009737DF"/>
    <w:rsid w:val="00973AEA"/>
    <w:rsid w:val="009769E9"/>
    <w:rsid w:val="00982993"/>
    <w:rsid w:val="00986632"/>
    <w:rsid w:val="00990370"/>
    <w:rsid w:val="009A191D"/>
    <w:rsid w:val="009B2686"/>
    <w:rsid w:val="009C0DED"/>
    <w:rsid w:val="009C1921"/>
    <w:rsid w:val="009C3620"/>
    <w:rsid w:val="009C68F6"/>
    <w:rsid w:val="009C7D3D"/>
    <w:rsid w:val="009E4931"/>
    <w:rsid w:val="009E4AA7"/>
    <w:rsid w:val="009E5DD4"/>
    <w:rsid w:val="009F2688"/>
    <w:rsid w:val="009F7067"/>
    <w:rsid w:val="009F7CF2"/>
    <w:rsid w:val="00A072BB"/>
    <w:rsid w:val="00A17889"/>
    <w:rsid w:val="00A21D63"/>
    <w:rsid w:val="00A3009F"/>
    <w:rsid w:val="00A315AF"/>
    <w:rsid w:val="00A3491E"/>
    <w:rsid w:val="00A3678C"/>
    <w:rsid w:val="00A37D7F"/>
    <w:rsid w:val="00A43894"/>
    <w:rsid w:val="00A47645"/>
    <w:rsid w:val="00A50722"/>
    <w:rsid w:val="00A51776"/>
    <w:rsid w:val="00A60AF3"/>
    <w:rsid w:val="00A60CD2"/>
    <w:rsid w:val="00A61538"/>
    <w:rsid w:val="00A6359A"/>
    <w:rsid w:val="00A67046"/>
    <w:rsid w:val="00A72448"/>
    <w:rsid w:val="00A73298"/>
    <w:rsid w:val="00A776C2"/>
    <w:rsid w:val="00A81281"/>
    <w:rsid w:val="00A83420"/>
    <w:rsid w:val="00A84A94"/>
    <w:rsid w:val="00A864BA"/>
    <w:rsid w:val="00A91936"/>
    <w:rsid w:val="00A91C84"/>
    <w:rsid w:val="00A933DD"/>
    <w:rsid w:val="00AA68B7"/>
    <w:rsid w:val="00AB74C7"/>
    <w:rsid w:val="00AC2823"/>
    <w:rsid w:val="00AE2B41"/>
    <w:rsid w:val="00AF1E23"/>
    <w:rsid w:val="00AF5B79"/>
    <w:rsid w:val="00B01AFF"/>
    <w:rsid w:val="00B064DD"/>
    <w:rsid w:val="00B15893"/>
    <w:rsid w:val="00B16C40"/>
    <w:rsid w:val="00B24CAD"/>
    <w:rsid w:val="00B27E39"/>
    <w:rsid w:val="00B32C32"/>
    <w:rsid w:val="00B34925"/>
    <w:rsid w:val="00B436E5"/>
    <w:rsid w:val="00B457F0"/>
    <w:rsid w:val="00B751D3"/>
    <w:rsid w:val="00B75A6F"/>
    <w:rsid w:val="00B80AA5"/>
    <w:rsid w:val="00B9002D"/>
    <w:rsid w:val="00BA6232"/>
    <w:rsid w:val="00BB112E"/>
    <w:rsid w:val="00BB292E"/>
    <w:rsid w:val="00BB4963"/>
    <w:rsid w:val="00BC2489"/>
    <w:rsid w:val="00BC27E3"/>
    <w:rsid w:val="00BE03BE"/>
    <w:rsid w:val="00BF08BD"/>
    <w:rsid w:val="00BF5A16"/>
    <w:rsid w:val="00C00C20"/>
    <w:rsid w:val="00C022E3"/>
    <w:rsid w:val="00C067E7"/>
    <w:rsid w:val="00C11B5F"/>
    <w:rsid w:val="00C14060"/>
    <w:rsid w:val="00C2043F"/>
    <w:rsid w:val="00C21E7B"/>
    <w:rsid w:val="00C22BC8"/>
    <w:rsid w:val="00C407FE"/>
    <w:rsid w:val="00C43E23"/>
    <w:rsid w:val="00C45502"/>
    <w:rsid w:val="00C4615F"/>
    <w:rsid w:val="00C4712D"/>
    <w:rsid w:val="00C5314C"/>
    <w:rsid w:val="00C64241"/>
    <w:rsid w:val="00C648A1"/>
    <w:rsid w:val="00C72AB3"/>
    <w:rsid w:val="00C90DBD"/>
    <w:rsid w:val="00C93638"/>
    <w:rsid w:val="00C94DF3"/>
    <w:rsid w:val="00C94F55"/>
    <w:rsid w:val="00CA07AC"/>
    <w:rsid w:val="00CA7D62"/>
    <w:rsid w:val="00CB0E34"/>
    <w:rsid w:val="00CC6368"/>
    <w:rsid w:val="00CD024E"/>
    <w:rsid w:val="00CD4558"/>
    <w:rsid w:val="00CE62D4"/>
    <w:rsid w:val="00CE6466"/>
    <w:rsid w:val="00CF178E"/>
    <w:rsid w:val="00CF21D0"/>
    <w:rsid w:val="00CF3504"/>
    <w:rsid w:val="00CF404C"/>
    <w:rsid w:val="00CF6B85"/>
    <w:rsid w:val="00D0524F"/>
    <w:rsid w:val="00D060C9"/>
    <w:rsid w:val="00D062A8"/>
    <w:rsid w:val="00D0635A"/>
    <w:rsid w:val="00D11216"/>
    <w:rsid w:val="00D16328"/>
    <w:rsid w:val="00D36E31"/>
    <w:rsid w:val="00D3702F"/>
    <w:rsid w:val="00D44AAB"/>
    <w:rsid w:val="00D45AC0"/>
    <w:rsid w:val="00D56F60"/>
    <w:rsid w:val="00D62265"/>
    <w:rsid w:val="00D62B66"/>
    <w:rsid w:val="00D847DE"/>
    <w:rsid w:val="00D8512E"/>
    <w:rsid w:val="00D86ED5"/>
    <w:rsid w:val="00D96889"/>
    <w:rsid w:val="00DA0378"/>
    <w:rsid w:val="00DA10BD"/>
    <w:rsid w:val="00DA1E58"/>
    <w:rsid w:val="00DC7B35"/>
    <w:rsid w:val="00DD7D9F"/>
    <w:rsid w:val="00DE3FB9"/>
    <w:rsid w:val="00DE4EF2"/>
    <w:rsid w:val="00DF246B"/>
    <w:rsid w:val="00DF2C0E"/>
    <w:rsid w:val="00E02717"/>
    <w:rsid w:val="00E0300F"/>
    <w:rsid w:val="00E06FFB"/>
    <w:rsid w:val="00E070F1"/>
    <w:rsid w:val="00E1577A"/>
    <w:rsid w:val="00E206C8"/>
    <w:rsid w:val="00E2100B"/>
    <w:rsid w:val="00E226FA"/>
    <w:rsid w:val="00E25C97"/>
    <w:rsid w:val="00E25D40"/>
    <w:rsid w:val="00E30155"/>
    <w:rsid w:val="00E30B5A"/>
    <w:rsid w:val="00E32D85"/>
    <w:rsid w:val="00E46822"/>
    <w:rsid w:val="00E63CC4"/>
    <w:rsid w:val="00E672E0"/>
    <w:rsid w:val="00E741CF"/>
    <w:rsid w:val="00E80669"/>
    <w:rsid w:val="00E873D6"/>
    <w:rsid w:val="00E90FC1"/>
    <w:rsid w:val="00E935D4"/>
    <w:rsid w:val="00E9440E"/>
    <w:rsid w:val="00E96889"/>
    <w:rsid w:val="00EA1A46"/>
    <w:rsid w:val="00EA4A0D"/>
    <w:rsid w:val="00EB5661"/>
    <w:rsid w:val="00EC75A4"/>
    <w:rsid w:val="00ED0B15"/>
    <w:rsid w:val="00ED26C5"/>
    <w:rsid w:val="00ED4954"/>
    <w:rsid w:val="00ED4BD8"/>
    <w:rsid w:val="00ED5F01"/>
    <w:rsid w:val="00EE03BF"/>
    <w:rsid w:val="00EE0943"/>
    <w:rsid w:val="00EE2EF6"/>
    <w:rsid w:val="00EE4BDD"/>
    <w:rsid w:val="00EE7CEF"/>
    <w:rsid w:val="00EF3745"/>
    <w:rsid w:val="00EF60FE"/>
    <w:rsid w:val="00F011A4"/>
    <w:rsid w:val="00F02354"/>
    <w:rsid w:val="00F03398"/>
    <w:rsid w:val="00F12A44"/>
    <w:rsid w:val="00F2242D"/>
    <w:rsid w:val="00F22D80"/>
    <w:rsid w:val="00F3013C"/>
    <w:rsid w:val="00F30490"/>
    <w:rsid w:val="00F3244E"/>
    <w:rsid w:val="00F35BDD"/>
    <w:rsid w:val="00F464E4"/>
    <w:rsid w:val="00F53E48"/>
    <w:rsid w:val="00F5743E"/>
    <w:rsid w:val="00F65D81"/>
    <w:rsid w:val="00F66029"/>
    <w:rsid w:val="00F678A7"/>
    <w:rsid w:val="00F759DD"/>
    <w:rsid w:val="00F804F5"/>
    <w:rsid w:val="00F82C5B"/>
    <w:rsid w:val="00F838AB"/>
    <w:rsid w:val="00FC1BA7"/>
    <w:rsid w:val="00FC7370"/>
    <w:rsid w:val="00FE4BE9"/>
    <w:rsid w:val="00FF7DD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112FF"/>
    <w:pPr>
      <w:spacing w:after="180"/>
    </w:pPr>
    <w:rPr>
      <w:rFonts w:ascii="Times New Roman" w:hAnsi="Times New Roman"/>
      <w:lang w:val="en-GB" w:eastAsia="en-US"/>
    </w:rPr>
  </w:style>
  <w:style w:type="paragraph" w:styleId="Heading1">
    <w:name w:val="heading 1"/>
    <w:next w:val="Normal"/>
    <w:qFormat/>
    <w:rsid w:val="002112FF"/>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rsid w:val="002112FF"/>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2112FF"/>
    <w:pPr>
      <w:spacing w:before="120"/>
      <w:outlineLvl w:val="2"/>
    </w:pPr>
    <w:rPr>
      <w:sz w:val="28"/>
    </w:rPr>
  </w:style>
  <w:style w:type="paragraph" w:styleId="Heading4">
    <w:name w:val="heading 4"/>
    <w:basedOn w:val="Heading3"/>
    <w:next w:val="Normal"/>
    <w:qFormat/>
    <w:rsid w:val="002112FF"/>
    <w:pPr>
      <w:ind w:left="1418" w:hanging="1418"/>
      <w:outlineLvl w:val="3"/>
    </w:pPr>
    <w:rPr>
      <w:sz w:val="24"/>
    </w:rPr>
  </w:style>
  <w:style w:type="paragraph" w:styleId="Heading5">
    <w:name w:val="heading 5"/>
    <w:basedOn w:val="Heading4"/>
    <w:next w:val="Normal"/>
    <w:qFormat/>
    <w:rsid w:val="002112FF"/>
    <w:pPr>
      <w:ind w:left="1701" w:hanging="1701"/>
      <w:outlineLvl w:val="4"/>
    </w:pPr>
    <w:rPr>
      <w:sz w:val="22"/>
    </w:rPr>
  </w:style>
  <w:style w:type="paragraph" w:styleId="Heading6">
    <w:name w:val="heading 6"/>
    <w:basedOn w:val="H6"/>
    <w:next w:val="Normal"/>
    <w:qFormat/>
    <w:rsid w:val="002112FF"/>
    <w:pPr>
      <w:outlineLvl w:val="5"/>
    </w:pPr>
  </w:style>
  <w:style w:type="paragraph" w:styleId="Heading7">
    <w:name w:val="heading 7"/>
    <w:basedOn w:val="H6"/>
    <w:next w:val="Normal"/>
    <w:qFormat/>
    <w:rsid w:val="002112FF"/>
    <w:pPr>
      <w:outlineLvl w:val="6"/>
    </w:pPr>
  </w:style>
  <w:style w:type="paragraph" w:styleId="Heading8">
    <w:name w:val="heading 8"/>
    <w:basedOn w:val="Heading1"/>
    <w:next w:val="Normal"/>
    <w:qFormat/>
    <w:rsid w:val="002112FF"/>
    <w:pPr>
      <w:ind w:left="0" w:firstLine="0"/>
      <w:outlineLvl w:val="7"/>
    </w:pPr>
  </w:style>
  <w:style w:type="paragraph" w:styleId="Heading9">
    <w:name w:val="heading 9"/>
    <w:basedOn w:val="Heading8"/>
    <w:next w:val="Normal"/>
    <w:qFormat/>
    <w:rsid w:val="002112F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112FF"/>
    <w:pPr>
      <w:ind w:left="1985" w:hanging="1985"/>
      <w:outlineLvl w:val="9"/>
    </w:pPr>
    <w:rPr>
      <w:sz w:val="20"/>
    </w:rPr>
  </w:style>
  <w:style w:type="paragraph" w:styleId="TOC8">
    <w:name w:val="toc 8"/>
    <w:basedOn w:val="TOC1"/>
    <w:semiHidden/>
    <w:rsid w:val="002112FF"/>
    <w:pPr>
      <w:spacing w:before="180"/>
      <w:ind w:left="2693" w:hanging="2693"/>
    </w:pPr>
    <w:rPr>
      <w:b/>
    </w:rPr>
  </w:style>
  <w:style w:type="paragraph" w:styleId="TOC1">
    <w:name w:val="toc 1"/>
    <w:semiHidden/>
    <w:rsid w:val="002112F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2112F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2112FF"/>
    <w:pPr>
      <w:ind w:left="1701" w:hanging="1701"/>
    </w:pPr>
  </w:style>
  <w:style w:type="paragraph" w:styleId="TOC4">
    <w:name w:val="toc 4"/>
    <w:basedOn w:val="TOC3"/>
    <w:semiHidden/>
    <w:rsid w:val="002112FF"/>
    <w:pPr>
      <w:ind w:left="1418" w:hanging="1418"/>
    </w:pPr>
  </w:style>
  <w:style w:type="paragraph" w:styleId="TOC3">
    <w:name w:val="toc 3"/>
    <w:basedOn w:val="TOC2"/>
    <w:semiHidden/>
    <w:rsid w:val="002112FF"/>
    <w:pPr>
      <w:ind w:left="1134" w:hanging="1134"/>
    </w:pPr>
  </w:style>
  <w:style w:type="paragraph" w:styleId="TOC2">
    <w:name w:val="toc 2"/>
    <w:basedOn w:val="TOC1"/>
    <w:semiHidden/>
    <w:rsid w:val="002112FF"/>
    <w:pPr>
      <w:keepNext w:val="0"/>
      <w:spacing w:before="0"/>
      <w:ind w:left="851" w:hanging="851"/>
    </w:pPr>
    <w:rPr>
      <w:sz w:val="20"/>
    </w:rPr>
  </w:style>
  <w:style w:type="paragraph" w:styleId="Index2">
    <w:name w:val="index 2"/>
    <w:basedOn w:val="Index1"/>
    <w:semiHidden/>
    <w:rsid w:val="002112FF"/>
    <w:pPr>
      <w:ind w:left="284"/>
    </w:pPr>
  </w:style>
  <w:style w:type="paragraph" w:styleId="Index1">
    <w:name w:val="index 1"/>
    <w:basedOn w:val="Normal"/>
    <w:semiHidden/>
    <w:rsid w:val="002112FF"/>
    <w:pPr>
      <w:keepLines/>
      <w:spacing w:after="0"/>
    </w:pPr>
  </w:style>
  <w:style w:type="paragraph" w:customStyle="1" w:styleId="ZH">
    <w:name w:val="ZH"/>
    <w:rsid w:val="002112F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2112FF"/>
    <w:pPr>
      <w:outlineLvl w:val="9"/>
    </w:pPr>
  </w:style>
  <w:style w:type="paragraph" w:styleId="ListNumber2">
    <w:name w:val="List Number 2"/>
    <w:basedOn w:val="ListNumber"/>
    <w:rsid w:val="002112FF"/>
    <w:pPr>
      <w:ind w:left="851"/>
    </w:pPr>
  </w:style>
  <w:style w:type="paragraph" w:styleId="ListNumber">
    <w:name w:val="List Number"/>
    <w:basedOn w:val="List"/>
    <w:rsid w:val="002112FF"/>
  </w:style>
  <w:style w:type="paragraph" w:styleId="List">
    <w:name w:val="List"/>
    <w:basedOn w:val="Normal"/>
    <w:rsid w:val="002112FF"/>
    <w:pPr>
      <w:ind w:left="568" w:hanging="284"/>
    </w:pPr>
  </w:style>
  <w:style w:type="paragraph" w:styleId="Header">
    <w:name w:val="header"/>
    <w:aliases w:val="header odd,header,header odd1,header odd2,header odd3,header odd4,header odd5,header odd6"/>
    <w:rsid w:val="002112FF"/>
    <w:pPr>
      <w:widowControl w:val="0"/>
    </w:pPr>
    <w:rPr>
      <w:rFonts w:ascii="Arial" w:hAnsi="Arial"/>
      <w:b/>
      <w:noProof/>
      <w:sz w:val="18"/>
      <w:lang w:val="en-GB" w:eastAsia="en-US"/>
    </w:rPr>
  </w:style>
  <w:style w:type="character" w:styleId="FootnoteReference">
    <w:name w:val="footnote reference"/>
    <w:semiHidden/>
    <w:rsid w:val="002112FF"/>
    <w:rPr>
      <w:b/>
      <w:position w:val="6"/>
      <w:sz w:val="16"/>
    </w:rPr>
  </w:style>
  <w:style w:type="paragraph" w:styleId="FootnoteText">
    <w:name w:val="footnote text"/>
    <w:basedOn w:val="Normal"/>
    <w:semiHidden/>
    <w:rsid w:val="002112FF"/>
    <w:pPr>
      <w:keepLines/>
      <w:spacing w:after="0"/>
      <w:ind w:left="454" w:hanging="454"/>
    </w:pPr>
    <w:rPr>
      <w:sz w:val="16"/>
    </w:rPr>
  </w:style>
  <w:style w:type="paragraph" w:customStyle="1" w:styleId="TAH">
    <w:name w:val="TAH"/>
    <w:basedOn w:val="TAC"/>
    <w:rsid w:val="002112FF"/>
    <w:rPr>
      <w:b/>
    </w:rPr>
  </w:style>
  <w:style w:type="paragraph" w:customStyle="1" w:styleId="TAC">
    <w:name w:val="TAC"/>
    <w:basedOn w:val="TAL"/>
    <w:rsid w:val="002112FF"/>
    <w:pPr>
      <w:jc w:val="center"/>
    </w:pPr>
  </w:style>
  <w:style w:type="paragraph" w:customStyle="1" w:styleId="TAL">
    <w:name w:val="TAL"/>
    <w:basedOn w:val="Normal"/>
    <w:rsid w:val="002112FF"/>
    <w:pPr>
      <w:keepNext/>
      <w:keepLines/>
      <w:spacing w:after="0"/>
    </w:pPr>
    <w:rPr>
      <w:rFonts w:ascii="Arial" w:hAnsi="Arial"/>
      <w:sz w:val="18"/>
    </w:rPr>
  </w:style>
  <w:style w:type="paragraph" w:customStyle="1" w:styleId="TF">
    <w:name w:val="TF"/>
    <w:basedOn w:val="TH"/>
    <w:rsid w:val="002112FF"/>
    <w:pPr>
      <w:keepNext w:val="0"/>
      <w:spacing w:before="0" w:after="240"/>
    </w:pPr>
  </w:style>
  <w:style w:type="paragraph" w:customStyle="1" w:styleId="TH">
    <w:name w:val="TH"/>
    <w:basedOn w:val="Normal"/>
    <w:rsid w:val="002112FF"/>
    <w:pPr>
      <w:keepNext/>
      <w:keepLines/>
      <w:spacing w:before="60"/>
      <w:jc w:val="center"/>
    </w:pPr>
    <w:rPr>
      <w:rFonts w:ascii="Arial" w:hAnsi="Arial"/>
      <w:b/>
    </w:rPr>
  </w:style>
  <w:style w:type="paragraph" w:customStyle="1" w:styleId="NO">
    <w:name w:val="NO"/>
    <w:basedOn w:val="Normal"/>
    <w:rsid w:val="002112FF"/>
    <w:pPr>
      <w:keepLines/>
      <w:ind w:left="1135" w:hanging="851"/>
    </w:pPr>
  </w:style>
  <w:style w:type="paragraph" w:styleId="TOC9">
    <w:name w:val="toc 9"/>
    <w:basedOn w:val="TOC8"/>
    <w:semiHidden/>
    <w:rsid w:val="002112FF"/>
    <w:pPr>
      <w:ind w:left="1418" w:hanging="1418"/>
    </w:pPr>
  </w:style>
  <w:style w:type="paragraph" w:customStyle="1" w:styleId="EX">
    <w:name w:val="EX"/>
    <w:basedOn w:val="Normal"/>
    <w:rsid w:val="002112FF"/>
    <w:pPr>
      <w:keepLines/>
      <w:ind w:left="1702" w:hanging="1418"/>
    </w:pPr>
  </w:style>
  <w:style w:type="paragraph" w:customStyle="1" w:styleId="FP">
    <w:name w:val="FP"/>
    <w:basedOn w:val="Normal"/>
    <w:rsid w:val="002112FF"/>
    <w:pPr>
      <w:spacing w:after="0"/>
    </w:pPr>
  </w:style>
  <w:style w:type="paragraph" w:customStyle="1" w:styleId="LD">
    <w:name w:val="LD"/>
    <w:rsid w:val="002112FF"/>
    <w:pPr>
      <w:keepNext/>
      <w:keepLines/>
      <w:spacing w:line="180" w:lineRule="exact"/>
    </w:pPr>
    <w:rPr>
      <w:rFonts w:ascii="MS LineDraw" w:hAnsi="MS LineDraw"/>
      <w:noProof/>
      <w:lang w:val="en-GB" w:eastAsia="en-US"/>
    </w:rPr>
  </w:style>
  <w:style w:type="paragraph" w:customStyle="1" w:styleId="NW">
    <w:name w:val="NW"/>
    <w:basedOn w:val="NO"/>
    <w:rsid w:val="002112FF"/>
    <w:pPr>
      <w:spacing w:after="0"/>
    </w:pPr>
  </w:style>
  <w:style w:type="paragraph" w:customStyle="1" w:styleId="EW">
    <w:name w:val="EW"/>
    <w:basedOn w:val="EX"/>
    <w:rsid w:val="002112FF"/>
    <w:pPr>
      <w:spacing w:after="0"/>
    </w:pPr>
  </w:style>
  <w:style w:type="paragraph" w:styleId="TOC6">
    <w:name w:val="toc 6"/>
    <w:basedOn w:val="TOC5"/>
    <w:next w:val="Normal"/>
    <w:semiHidden/>
    <w:rsid w:val="002112FF"/>
    <w:pPr>
      <w:ind w:left="1985" w:hanging="1985"/>
    </w:pPr>
  </w:style>
  <w:style w:type="paragraph" w:styleId="TOC7">
    <w:name w:val="toc 7"/>
    <w:basedOn w:val="TOC6"/>
    <w:next w:val="Normal"/>
    <w:semiHidden/>
    <w:rsid w:val="002112FF"/>
    <w:pPr>
      <w:ind w:left="2268" w:hanging="2268"/>
    </w:pPr>
  </w:style>
  <w:style w:type="paragraph" w:styleId="ListBullet2">
    <w:name w:val="List Bullet 2"/>
    <w:basedOn w:val="ListBullet"/>
    <w:rsid w:val="002112FF"/>
    <w:pPr>
      <w:ind w:left="851"/>
    </w:pPr>
  </w:style>
  <w:style w:type="paragraph" w:styleId="ListBullet">
    <w:name w:val="List Bullet"/>
    <w:basedOn w:val="List"/>
    <w:rsid w:val="002112FF"/>
  </w:style>
  <w:style w:type="paragraph" w:styleId="ListBullet3">
    <w:name w:val="List Bullet 3"/>
    <w:basedOn w:val="ListBullet2"/>
    <w:rsid w:val="002112FF"/>
    <w:pPr>
      <w:ind w:left="1135"/>
    </w:pPr>
  </w:style>
  <w:style w:type="paragraph" w:customStyle="1" w:styleId="EQ">
    <w:name w:val="EQ"/>
    <w:basedOn w:val="Normal"/>
    <w:next w:val="Normal"/>
    <w:rsid w:val="002112FF"/>
    <w:pPr>
      <w:keepLines/>
      <w:tabs>
        <w:tab w:val="center" w:pos="4536"/>
        <w:tab w:val="right" w:pos="9072"/>
      </w:tabs>
    </w:pPr>
    <w:rPr>
      <w:noProof/>
    </w:rPr>
  </w:style>
  <w:style w:type="paragraph" w:customStyle="1" w:styleId="NF">
    <w:name w:val="NF"/>
    <w:basedOn w:val="NO"/>
    <w:rsid w:val="002112FF"/>
    <w:pPr>
      <w:keepNext/>
      <w:spacing w:after="0"/>
    </w:pPr>
    <w:rPr>
      <w:rFonts w:ascii="Arial" w:hAnsi="Arial"/>
      <w:sz w:val="18"/>
    </w:rPr>
  </w:style>
  <w:style w:type="paragraph" w:customStyle="1" w:styleId="PL">
    <w:name w:val="PL"/>
    <w:rsid w:val="002112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2112FF"/>
    <w:pPr>
      <w:jc w:val="right"/>
    </w:pPr>
  </w:style>
  <w:style w:type="paragraph" w:customStyle="1" w:styleId="TAN">
    <w:name w:val="TAN"/>
    <w:basedOn w:val="TAL"/>
    <w:rsid w:val="002112FF"/>
    <w:pPr>
      <w:ind w:left="851" w:hanging="851"/>
    </w:pPr>
  </w:style>
  <w:style w:type="paragraph" w:customStyle="1" w:styleId="ZA">
    <w:name w:val="ZA"/>
    <w:rsid w:val="002112F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2112F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2112FF"/>
    <w:pPr>
      <w:framePr w:wrap="notBeside" w:vAnchor="page" w:hAnchor="margin" w:y="15764"/>
      <w:widowControl w:val="0"/>
    </w:pPr>
    <w:rPr>
      <w:rFonts w:ascii="Arial" w:hAnsi="Arial"/>
      <w:noProof/>
      <w:sz w:val="32"/>
      <w:lang w:val="en-GB" w:eastAsia="en-US"/>
    </w:rPr>
  </w:style>
  <w:style w:type="paragraph" w:customStyle="1" w:styleId="ZU">
    <w:name w:val="ZU"/>
    <w:rsid w:val="002112F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2112FF"/>
    <w:pPr>
      <w:framePr w:wrap="notBeside" w:y="16161"/>
    </w:pPr>
  </w:style>
  <w:style w:type="character" w:customStyle="1" w:styleId="ZGSM">
    <w:name w:val="ZGSM"/>
    <w:rsid w:val="002112FF"/>
  </w:style>
  <w:style w:type="paragraph" w:styleId="List2">
    <w:name w:val="List 2"/>
    <w:basedOn w:val="List"/>
    <w:rsid w:val="002112FF"/>
    <w:pPr>
      <w:ind w:left="851"/>
    </w:pPr>
  </w:style>
  <w:style w:type="paragraph" w:customStyle="1" w:styleId="ZG">
    <w:name w:val="ZG"/>
    <w:rsid w:val="002112F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2112FF"/>
    <w:pPr>
      <w:ind w:left="1135"/>
    </w:pPr>
  </w:style>
  <w:style w:type="paragraph" w:styleId="List4">
    <w:name w:val="List 4"/>
    <w:basedOn w:val="List3"/>
    <w:rsid w:val="002112FF"/>
    <w:pPr>
      <w:ind w:left="1418"/>
    </w:pPr>
  </w:style>
  <w:style w:type="paragraph" w:styleId="List5">
    <w:name w:val="List 5"/>
    <w:basedOn w:val="List4"/>
    <w:rsid w:val="002112FF"/>
    <w:pPr>
      <w:ind w:left="1702"/>
    </w:pPr>
  </w:style>
  <w:style w:type="paragraph" w:customStyle="1" w:styleId="EditorsNote">
    <w:name w:val="Editor's Note"/>
    <w:basedOn w:val="NO"/>
    <w:rsid w:val="002112FF"/>
    <w:rPr>
      <w:color w:val="FF0000"/>
    </w:rPr>
  </w:style>
  <w:style w:type="paragraph" w:styleId="ListBullet4">
    <w:name w:val="List Bullet 4"/>
    <w:basedOn w:val="ListBullet3"/>
    <w:rsid w:val="002112FF"/>
    <w:pPr>
      <w:ind w:left="1418"/>
    </w:pPr>
  </w:style>
  <w:style w:type="paragraph" w:styleId="ListBullet5">
    <w:name w:val="List Bullet 5"/>
    <w:basedOn w:val="ListBullet4"/>
    <w:rsid w:val="002112FF"/>
    <w:pPr>
      <w:ind w:left="1702"/>
    </w:pPr>
  </w:style>
  <w:style w:type="paragraph" w:customStyle="1" w:styleId="B1">
    <w:name w:val="B1"/>
    <w:basedOn w:val="List"/>
    <w:rsid w:val="002112FF"/>
  </w:style>
  <w:style w:type="paragraph" w:customStyle="1" w:styleId="B2">
    <w:name w:val="B2"/>
    <w:basedOn w:val="List2"/>
    <w:rsid w:val="002112FF"/>
  </w:style>
  <w:style w:type="paragraph" w:customStyle="1" w:styleId="B3">
    <w:name w:val="B3"/>
    <w:basedOn w:val="List3"/>
    <w:rsid w:val="002112FF"/>
  </w:style>
  <w:style w:type="paragraph" w:customStyle="1" w:styleId="B4">
    <w:name w:val="B4"/>
    <w:basedOn w:val="List4"/>
    <w:rsid w:val="002112FF"/>
  </w:style>
  <w:style w:type="paragraph" w:customStyle="1" w:styleId="B5">
    <w:name w:val="B5"/>
    <w:basedOn w:val="List5"/>
    <w:rsid w:val="002112FF"/>
  </w:style>
  <w:style w:type="paragraph" w:styleId="Footer">
    <w:name w:val="footer"/>
    <w:basedOn w:val="Header"/>
    <w:rsid w:val="002112FF"/>
    <w:pPr>
      <w:jc w:val="center"/>
    </w:pPr>
    <w:rPr>
      <w:i/>
    </w:rPr>
  </w:style>
  <w:style w:type="paragraph" w:customStyle="1" w:styleId="ZTD">
    <w:name w:val="ZTD"/>
    <w:basedOn w:val="ZB"/>
    <w:rsid w:val="002112FF"/>
    <w:pPr>
      <w:framePr w:hRule="auto" w:wrap="notBeside" w:y="852"/>
    </w:pPr>
    <w:rPr>
      <w:i w:val="0"/>
      <w:sz w:val="40"/>
    </w:rPr>
  </w:style>
  <w:style w:type="paragraph" w:customStyle="1" w:styleId="CRCoverPage">
    <w:name w:val="CR Cover Page"/>
    <w:rsid w:val="002112FF"/>
    <w:pPr>
      <w:spacing w:after="120"/>
    </w:pPr>
    <w:rPr>
      <w:rFonts w:ascii="Arial" w:hAnsi="Arial"/>
      <w:lang w:val="en-GB" w:eastAsia="en-US"/>
    </w:rPr>
  </w:style>
  <w:style w:type="paragraph" w:customStyle="1" w:styleId="tdoc-header">
    <w:name w:val="tdoc-header"/>
    <w:rsid w:val="002112FF"/>
    <w:rPr>
      <w:rFonts w:ascii="Arial" w:hAnsi="Arial"/>
      <w:noProof/>
      <w:sz w:val="24"/>
      <w:lang w:val="en-GB" w:eastAsia="en-US"/>
    </w:rPr>
  </w:style>
  <w:style w:type="character" w:styleId="Hyperlink">
    <w:name w:val="Hyperlink"/>
    <w:rsid w:val="002112FF"/>
    <w:rPr>
      <w:color w:val="0000FF"/>
      <w:u w:val="single"/>
    </w:rPr>
  </w:style>
  <w:style w:type="character" w:styleId="CommentReference">
    <w:name w:val="annotation reference"/>
    <w:semiHidden/>
    <w:rsid w:val="002112FF"/>
    <w:rPr>
      <w:sz w:val="16"/>
    </w:rPr>
  </w:style>
  <w:style w:type="paragraph" w:styleId="CommentText">
    <w:name w:val="annotation text"/>
    <w:basedOn w:val="Normal"/>
    <w:semiHidden/>
    <w:rsid w:val="002112FF"/>
  </w:style>
  <w:style w:type="character" w:styleId="FollowedHyperlink">
    <w:name w:val="FollowedHyperlink"/>
    <w:rsid w:val="002112FF"/>
    <w:rPr>
      <w:color w:val="800080"/>
      <w:u w:val="single"/>
    </w:rPr>
  </w:style>
  <w:style w:type="paragraph" w:styleId="BalloonText">
    <w:name w:val="Balloon Text"/>
    <w:basedOn w:val="Normal"/>
    <w:semiHidden/>
    <w:rsid w:val="002112FF"/>
    <w:rPr>
      <w:rFonts w:ascii="Tahoma" w:hAnsi="Tahoma" w:cs="Tahoma"/>
      <w:sz w:val="16"/>
      <w:szCs w:val="16"/>
    </w:rPr>
  </w:style>
  <w:style w:type="paragraph" w:customStyle="1" w:styleId="code">
    <w:name w:val="code"/>
    <w:basedOn w:val="Normal"/>
    <w:rsid w:val="002112FF"/>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rsid w:val="002112FF"/>
  </w:style>
  <w:style w:type="paragraph" w:customStyle="1" w:styleId="Reference">
    <w:name w:val="Reference"/>
    <w:basedOn w:val="Normal"/>
    <w:rsid w:val="002112FF"/>
    <w:pPr>
      <w:tabs>
        <w:tab w:val="left" w:pos="851"/>
      </w:tabs>
      <w:ind w:left="851" w:hanging="851"/>
    </w:pPr>
  </w:style>
  <w:style w:type="paragraph" w:styleId="NormalWeb">
    <w:name w:val="Normal (Web)"/>
    <w:basedOn w:val="Normal"/>
    <w:uiPriority w:val="99"/>
    <w:unhideWhenUsed/>
    <w:rsid w:val="00C11B5F"/>
    <w:pPr>
      <w:spacing w:before="100" w:beforeAutospacing="1" w:after="100" w:afterAutospacing="1"/>
    </w:pPr>
    <w:rPr>
      <w:rFonts w:ascii="SimSun" w:hAnsi="SimSun" w:cs="SimSun"/>
      <w:sz w:val="24"/>
      <w:szCs w:val="24"/>
      <w:lang w:val="en-US" w:eastAsia="zh-CN"/>
    </w:rPr>
  </w:style>
  <w:style w:type="paragraph" w:styleId="ListParagraph">
    <w:name w:val="List Paragraph"/>
    <w:basedOn w:val="Normal"/>
    <w:uiPriority w:val="34"/>
    <w:qFormat/>
    <w:rsid w:val="00AC2823"/>
    <w:pPr>
      <w:spacing w:after="0"/>
      <w:ind w:firstLineChars="200" w:firstLine="420"/>
    </w:pPr>
    <w:rPr>
      <w:rFonts w:ascii="SimSun" w:hAnsi="SimSun" w:cs="SimSun"/>
      <w:sz w:val="24"/>
      <w:szCs w:val="24"/>
      <w:lang w:val="en-US" w:eastAsia="zh-CN"/>
    </w:rPr>
  </w:style>
  <w:style w:type="character" w:styleId="PlaceholderText">
    <w:name w:val="Placeholder Text"/>
    <w:basedOn w:val="DefaultParagraphFont"/>
    <w:uiPriority w:val="99"/>
    <w:semiHidden/>
    <w:rsid w:val="0012546B"/>
    <w:rPr>
      <w:color w:val="808080"/>
    </w:rPr>
  </w:style>
  <w:style w:type="character" w:customStyle="1" w:styleId="Heading3Char">
    <w:name w:val="Heading 3 Char"/>
    <w:aliases w:val="h3 Char"/>
    <w:basedOn w:val="DefaultParagraphFont"/>
    <w:link w:val="Heading3"/>
    <w:rsid w:val="008C522D"/>
    <w:rPr>
      <w:rFonts w:ascii="Arial" w:hAnsi="Arial"/>
      <w:sz w:val="28"/>
      <w:lang w:val="en-GB" w:eastAsia="en-US"/>
    </w:rPr>
  </w:style>
</w:styles>
</file>

<file path=word/webSettings.xml><?xml version="1.0" encoding="utf-8"?>
<w:webSettings xmlns:r="http://schemas.openxmlformats.org/officeDocument/2006/relationships" xmlns:w="http://schemas.openxmlformats.org/wordprocessingml/2006/main">
  <w:divs>
    <w:div w:id="64450824">
      <w:bodyDiv w:val="1"/>
      <w:marLeft w:val="0"/>
      <w:marRight w:val="0"/>
      <w:marTop w:val="0"/>
      <w:marBottom w:val="0"/>
      <w:divBdr>
        <w:top w:val="none" w:sz="0" w:space="0" w:color="auto"/>
        <w:left w:val="none" w:sz="0" w:space="0" w:color="auto"/>
        <w:bottom w:val="none" w:sz="0" w:space="0" w:color="auto"/>
        <w:right w:val="none" w:sz="0" w:space="0" w:color="auto"/>
      </w:divBdr>
    </w:div>
    <w:div w:id="364060660">
      <w:bodyDiv w:val="1"/>
      <w:marLeft w:val="0"/>
      <w:marRight w:val="0"/>
      <w:marTop w:val="0"/>
      <w:marBottom w:val="0"/>
      <w:divBdr>
        <w:top w:val="none" w:sz="0" w:space="0" w:color="auto"/>
        <w:left w:val="none" w:sz="0" w:space="0" w:color="auto"/>
        <w:bottom w:val="none" w:sz="0" w:space="0" w:color="auto"/>
        <w:right w:val="none" w:sz="0" w:space="0" w:color="auto"/>
      </w:divBdr>
      <w:divsChild>
        <w:div w:id="1052462073">
          <w:marLeft w:val="360"/>
          <w:marRight w:val="0"/>
          <w:marTop w:val="200"/>
          <w:marBottom w:val="0"/>
          <w:divBdr>
            <w:top w:val="none" w:sz="0" w:space="0" w:color="auto"/>
            <w:left w:val="none" w:sz="0" w:space="0" w:color="auto"/>
            <w:bottom w:val="none" w:sz="0" w:space="0" w:color="auto"/>
            <w:right w:val="none" w:sz="0" w:space="0" w:color="auto"/>
          </w:divBdr>
        </w:div>
        <w:div w:id="279924052">
          <w:marLeft w:val="1800"/>
          <w:marRight w:val="0"/>
          <w:marTop w:val="100"/>
          <w:marBottom w:val="0"/>
          <w:divBdr>
            <w:top w:val="none" w:sz="0" w:space="0" w:color="auto"/>
            <w:left w:val="none" w:sz="0" w:space="0" w:color="auto"/>
            <w:bottom w:val="none" w:sz="0" w:space="0" w:color="auto"/>
            <w:right w:val="none" w:sz="0" w:space="0" w:color="auto"/>
          </w:divBdr>
        </w:div>
        <w:div w:id="219755381">
          <w:marLeft w:val="1800"/>
          <w:marRight w:val="0"/>
          <w:marTop w:val="100"/>
          <w:marBottom w:val="0"/>
          <w:divBdr>
            <w:top w:val="none" w:sz="0" w:space="0" w:color="auto"/>
            <w:left w:val="none" w:sz="0" w:space="0" w:color="auto"/>
            <w:bottom w:val="none" w:sz="0" w:space="0" w:color="auto"/>
            <w:right w:val="none" w:sz="0" w:space="0" w:color="auto"/>
          </w:divBdr>
        </w:div>
      </w:divsChild>
    </w:div>
    <w:div w:id="372510432">
      <w:bodyDiv w:val="1"/>
      <w:marLeft w:val="0"/>
      <w:marRight w:val="0"/>
      <w:marTop w:val="0"/>
      <w:marBottom w:val="0"/>
      <w:divBdr>
        <w:top w:val="none" w:sz="0" w:space="0" w:color="auto"/>
        <w:left w:val="none" w:sz="0" w:space="0" w:color="auto"/>
        <w:bottom w:val="none" w:sz="0" w:space="0" w:color="auto"/>
        <w:right w:val="none" w:sz="0" w:space="0" w:color="auto"/>
      </w:divBdr>
    </w:div>
    <w:div w:id="75354954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92454259">
      <w:bodyDiv w:val="1"/>
      <w:marLeft w:val="0"/>
      <w:marRight w:val="0"/>
      <w:marTop w:val="0"/>
      <w:marBottom w:val="0"/>
      <w:divBdr>
        <w:top w:val="none" w:sz="0" w:space="0" w:color="auto"/>
        <w:left w:val="none" w:sz="0" w:space="0" w:color="auto"/>
        <w:bottom w:val="none" w:sz="0" w:space="0" w:color="auto"/>
        <w:right w:val="none" w:sz="0" w:space="0" w:color="auto"/>
      </w:divBdr>
      <w:divsChild>
        <w:div w:id="2088503168">
          <w:marLeft w:val="360"/>
          <w:marRight w:val="0"/>
          <w:marTop w:val="200"/>
          <w:marBottom w:val="0"/>
          <w:divBdr>
            <w:top w:val="none" w:sz="0" w:space="0" w:color="auto"/>
            <w:left w:val="none" w:sz="0" w:space="0" w:color="auto"/>
            <w:bottom w:val="none" w:sz="0" w:space="0" w:color="auto"/>
            <w:right w:val="none" w:sz="0" w:space="0" w:color="auto"/>
          </w:divBdr>
        </w:div>
      </w:divsChild>
    </w:div>
    <w:div w:id="1861502539">
      <w:bodyDiv w:val="1"/>
      <w:marLeft w:val="0"/>
      <w:marRight w:val="0"/>
      <w:marTop w:val="0"/>
      <w:marBottom w:val="0"/>
      <w:divBdr>
        <w:top w:val="none" w:sz="0" w:space="0" w:color="auto"/>
        <w:left w:val="none" w:sz="0" w:space="0" w:color="auto"/>
        <w:bottom w:val="none" w:sz="0" w:space="0" w:color="auto"/>
        <w:right w:val="none" w:sz="0" w:space="0" w:color="auto"/>
      </w:divBdr>
      <w:divsChild>
        <w:div w:id="1605532792">
          <w:marLeft w:val="360"/>
          <w:marRight w:val="0"/>
          <w:marTop w:val="200"/>
          <w:marBottom w:val="0"/>
          <w:divBdr>
            <w:top w:val="none" w:sz="0" w:space="0" w:color="auto"/>
            <w:left w:val="none" w:sz="0" w:space="0" w:color="auto"/>
            <w:bottom w:val="none" w:sz="0" w:space="0" w:color="auto"/>
            <w:right w:val="none" w:sz="0" w:space="0" w:color="auto"/>
          </w:divBdr>
        </w:div>
        <w:div w:id="2123303697">
          <w:marLeft w:val="1080"/>
          <w:marRight w:val="0"/>
          <w:marTop w:val="100"/>
          <w:marBottom w:val="0"/>
          <w:divBdr>
            <w:top w:val="none" w:sz="0" w:space="0" w:color="auto"/>
            <w:left w:val="none" w:sz="0" w:space="0" w:color="auto"/>
            <w:bottom w:val="none" w:sz="0" w:space="0" w:color="auto"/>
            <w:right w:val="none" w:sz="0" w:space="0" w:color="auto"/>
          </w:divBdr>
        </w:div>
        <w:div w:id="977223771">
          <w:marLeft w:val="1800"/>
          <w:marRight w:val="0"/>
          <w:marTop w:val="100"/>
          <w:marBottom w:val="0"/>
          <w:divBdr>
            <w:top w:val="none" w:sz="0" w:space="0" w:color="auto"/>
            <w:left w:val="none" w:sz="0" w:space="0" w:color="auto"/>
            <w:bottom w:val="none" w:sz="0" w:space="0" w:color="auto"/>
            <w:right w:val="none" w:sz="0" w:space="0" w:color="auto"/>
          </w:divBdr>
        </w:div>
        <w:div w:id="239021782">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ettings" Target="settings.xml"/><Relationship Id="rId7" Type="http://schemas.openxmlformats.org/officeDocument/2006/relationships/hyperlink" Target="http://www.3gpp.org/ftp/Specs/latest-drafts/33501-020.zip" TargetMode="External"/><Relationship Id="rId12" Type="http://schemas.openxmlformats.org/officeDocument/2006/relationships/image" Target="media/image5.pn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png"/><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image" Target="media/image7.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3</TotalTime>
  <Pages>5</Pages>
  <Words>1825</Words>
  <Characters>10403</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12204</CharactersWithSpaces>
  <SharedDoc>false</SharedDoc>
  <HLinks>
    <vt:vector size="12" baseType="variant">
      <vt:variant>
        <vt:i4>84</vt:i4>
      </vt:variant>
      <vt:variant>
        <vt:i4>3</vt:i4>
      </vt:variant>
      <vt:variant>
        <vt:i4>0</vt:i4>
      </vt:variant>
      <vt:variant>
        <vt:i4>5</vt:i4>
      </vt:variant>
      <vt:variant>
        <vt:lpwstr>http://www.3gpp.org/ftp/Specs/latest-drafts/33899-120.zip</vt:lpwstr>
      </vt:variant>
      <vt:variant>
        <vt:lpwstr/>
      </vt:variant>
      <vt:variant>
        <vt:i4>589904</vt:i4>
      </vt:variant>
      <vt:variant>
        <vt:i4>0</vt:i4>
      </vt:variant>
      <vt:variant>
        <vt:i4>0</vt:i4>
      </vt:variant>
      <vt:variant>
        <vt:i4>5</vt:i4>
      </vt:variant>
      <vt:variant>
        <vt:lpwstr>http://www.3gpp.org/ftp/Specs/latest-drafts/33501-020.zip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Michael Sanders, John M Meredith</dc:creator>
  <cp:lastModifiedBy>l00379712</cp:lastModifiedBy>
  <cp:revision>5</cp:revision>
  <cp:lastPrinted>1899-12-31T21:00:00Z</cp:lastPrinted>
  <dcterms:created xsi:type="dcterms:W3CDTF">2017-07-31T03:22:00Z</dcterms:created>
  <dcterms:modified xsi:type="dcterms:W3CDTF">2017-07-31T03:32:00Z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1500365677</vt:lpwstr>
  </property>
</Properties>
</file>